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AIHE-Y — Data Quality and Fitness-for-Purpose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AIHE-Y</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2: Institutional Readiness and Digital Foundations; Chapter 2: Institutional Readiness and Digital Foundations;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tcMar>
              <w:top w:w="80" w:type="dxa"/>
              <w:start w:w="80" w:type="dxa"/>
              <w:bottom w:w="80" w:type="dxa"/>
              <w:end w:w="80" w:type="dxa"/>
            </w:tcMar>
            <w:shd w:fill="D9EAF7"/>
          </w:tcPr>
          <w:p>
            <w:r>
              <w:rPr>
                <w:b/>
              </w:rPr>
              <w:t>Dimension</w:t>
            </w:r>
          </w:p>
        </w:tc>
        <w:tc>
          <w:tcPr>
            <w:tcW w:type="dxa" w:w="2592"/>
            <w:vAlign w:val="center"/>
            <w:tcMar>
              <w:top w:w="80" w:type="dxa"/>
              <w:start w:w="80" w:type="dxa"/>
              <w:bottom w:w="80" w:type="dxa"/>
              <w:end w:w="80" w:type="dxa"/>
            </w:tcMar>
            <w:shd w:fill="D9EAF7"/>
          </w:tcPr>
          <w:p>
            <w:r>
              <w:rPr>
                <w:b/>
              </w:rPr>
              <w:t>Assessment question</w:t>
            </w:r>
          </w:p>
        </w:tc>
        <w:tc>
          <w:tcPr>
            <w:tcW w:type="dxa" w:w="2592"/>
            <w:vAlign w:val="center"/>
            <w:tcMar>
              <w:top w:w="80" w:type="dxa"/>
              <w:start w:w="80" w:type="dxa"/>
              <w:bottom w:w="80" w:type="dxa"/>
              <w:end w:w="80" w:type="dxa"/>
            </w:tcMar>
            <w:shd w:fill="D9EAF7"/>
          </w:tcPr>
          <w:p>
            <w:r>
              <w:rPr>
                <w:b/>
              </w:rPr>
              <w:t>Finding</w:t>
            </w:r>
          </w:p>
        </w:tc>
        <w:tc>
          <w:tcPr>
            <w:tcW w:type="dxa" w:w="2592"/>
            <w:vAlign w:val="center"/>
            <w:tcMar>
              <w:top w:w="80" w:type="dxa"/>
              <w:start w:w="80" w:type="dxa"/>
              <w:bottom w:w="80" w:type="dxa"/>
              <w:end w:w="80" w:type="dxa"/>
            </w:tcMar>
            <w:shd w:fill="D9EAF7"/>
          </w:tcPr>
          <w:p>
            <w:r>
              <w:rPr>
                <w:b/>
              </w:rPr>
              <w:t>Action required</w:t>
            </w:r>
          </w:p>
        </w:tc>
      </w:tr>
      <w:tr>
        <w:tc>
          <w:tcPr>
            <w:tcW w:type="dxa" w:w="2592"/>
            <w:vAlign w:val="center"/>
            <w:tcMar>
              <w:top w:w="80" w:type="dxa"/>
              <w:start w:w="80" w:type="dxa"/>
              <w:bottom w:w="80" w:type="dxa"/>
              <w:end w:w="80" w:type="dxa"/>
            </w:tcMar>
          </w:tcPr>
          <w:p>
            <w:r>
              <w:t>Completeness</w:t>
            </w:r>
          </w:p>
        </w:tc>
        <w:tc>
          <w:tcPr>
            <w:tcW w:type="dxa" w:w="2592"/>
            <w:vAlign w:val="center"/>
            <w:tcMar>
              <w:top w:w="80" w:type="dxa"/>
              <w:start w:w="80" w:type="dxa"/>
              <w:bottom w:w="80" w:type="dxa"/>
              <w:end w:w="80" w:type="dxa"/>
            </w:tcMar>
          </w:tcPr>
          <w:p>
            <w:r>
              <w:t>Are essential variables and time points missing?</w:t>
            </w:r>
          </w:p>
        </w:tc>
        <w:tc>
          <w:tcPr>
            <w:tcW w:type="dxa" w:w="2592"/>
            <w:vAlign w:val="center"/>
            <w:tcMar>
              <w:top w:w="80" w:type="dxa"/>
              <w:start w:w="80" w:type="dxa"/>
              <w:bottom w:w="80" w:type="dxa"/>
              <w:end w:w="80" w:type="dxa"/>
            </w:tcMar>
          </w:tcPr>
          <w:p>
            <w:r>
              <w:t>External encounters and social-risk variables are incomplete.</w:t>
            </w:r>
          </w:p>
        </w:tc>
        <w:tc>
          <w:tcPr>
            <w:tcW w:type="dxa" w:w="2592"/>
            <w:vAlign w:val="center"/>
            <w:tcMar>
              <w:top w:w="80" w:type="dxa"/>
              <w:start w:w="80" w:type="dxa"/>
              <w:bottom w:w="80" w:type="dxa"/>
              <w:end w:w="80" w:type="dxa"/>
            </w:tcMar>
          </w:tcPr>
          <w:p>
            <w:r>
              <w:t>Quantify missingness and add a missingness indicator.</w:t>
            </w:r>
          </w:p>
        </w:tc>
      </w:tr>
      <w:tr>
        <w:tc>
          <w:tcPr>
            <w:tcW w:type="dxa" w:w="2592"/>
            <w:vAlign w:val="center"/>
            <w:tcMar>
              <w:top w:w="80" w:type="dxa"/>
              <w:start w:w="80" w:type="dxa"/>
              <w:bottom w:w="80" w:type="dxa"/>
              <w:end w:w="80" w:type="dxa"/>
            </w:tcMar>
          </w:tcPr>
          <w:p>
            <w:r>
              <w:t>Accuracy</w:t>
            </w:r>
          </w:p>
        </w:tc>
        <w:tc>
          <w:tcPr>
            <w:tcW w:type="dxa" w:w="2592"/>
            <w:vAlign w:val="center"/>
            <w:tcMar>
              <w:top w:w="80" w:type="dxa"/>
              <w:start w:w="80" w:type="dxa"/>
              <w:bottom w:w="80" w:type="dxa"/>
              <w:end w:w="80" w:type="dxa"/>
            </w:tcMar>
          </w:tcPr>
          <w:p>
            <w:r>
              <w:t>Are values clinically plausible and correctly coded?</w:t>
            </w:r>
          </w:p>
        </w:tc>
        <w:tc>
          <w:tcPr>
            <w:tcW w:type="dxa" w:w="2592"/>
            <w:vAlign w:val="center"/>
            <w:tcMar>
              <w:top w:w="80" w:type="dxa"/>
              <w:start w:w="80" w:type="dxa"/>
              <w:bottom w:w="80" w:type="dxa"/>
              <w:end w:w="80" w:type="dxa"/>
            </w:tcMar>
          </w:tcPr>
          <w:p>
            <w:r>
              <w:t>Core clinical variables are plausible; discharge coding requires spot audit.</w:t>
            </w:r>
          </w:p>
        </w:tc>
        <w:tc>
          <w:tcPr>
            <w:tcW w:type="dxa" w:w="2592"/>
            <w:vAlign w:val="center"/>
            <w:tcMar>
              <w:top w:w="80" w:type="dxa"/>
              <w:start w:w="80" w:type="dxa"/>
              <w:bottom w:w="80" w:type="dxa"/>
              <w:end w:w="80" w:type="dxa"/>
            </w:tcMar>
          </w:tcPr>
          <w:p>
            <w:r>
              <w:t>Complete a 100-record coding audit.</w:t>
            </w:r>
          </w:p>
        </w:tc>
      </w:tr>
      <w:tr>
        <w:tc>
          <w:tcPr>
            <w:tcW w:type="dxa" w:w="2592"/>
            <w:vAlign w:val="center"/>
            <w:tcMar>
              <w:top w:w="80" w:type="dxa"/>
              <w:start w:w="80" w:type="dxa"/>
              <w:bottom w:w="80" w:type="dxa"/>
              <w:end w:w="80" w:type="dxa"/>
            </w:tcMar>
          </w:tcPr>
          <w:p>
            <w:r>
              <w:t>Timeliness</w:t>
            </w:r>
          </w:p>
        </w:tc>
        <w:tc>
          <w:tcPr>
            <w:tcW w:type="dxa" w:w="2592"/>
            <w:vAlign w:val="center"/>
            <w:tcMar>
              <w:top w:w="80" w:type="dxa"/>
              <w:start w:w="80" w:type="dxa"/>
              <w:bottom w:w="80" w:type="dxa"/>
              <w:end w:w="80" w:type="dxa"/>
            </w:tcMar>
          </w:tcPr>
          <w:p>
            <w:r>
              <w:t>Do data arrive before the decision is needed?</w:t>
            </w:r>
          </w:p>
        </w:tc>
        <w:tc>
          <w:tcPr>
            <w:tcW w:type="dxa" w:w="2592"/>
            <w:vAlign w:val="center"/>
            <w:tcMar>
              <w:top w:w="80" w:type="dxa"/>
              <w:start w:w="80" w:type="dxa"/>
              <w:bottom w:w="80" w:type="dxa"/>
              <w:end w:w="80" w:type="dxa"/>
            </w:tcMar>
          </w:tcPr>
          <w:p>
            <w:r>
              <w:t>The score can be generated within 20 minutes of discharge order.</w:t>
            </w:r>
          </w:p>
        </w:tc>
        <w:tc>
          <w:tcPr>
            <w:tcW w:type="dxa" w:w="2592"/>
            <w:vAlign w:val="center"/>
            <w:tcMar>
              <w:top w:w="80" w:type="dxa"/>
              <w:start w:w="80" w:type="dxa"/>
              <w:bottom w:w="80" w:type="dxa"/>
              <w:end w:w="80" w:type="dxa"/>
            </w:tcMar>
          </w:tcPr>
          <w:p>
            <w:r>
              <w:t>Monitor latency weekly.</w:t>
            </w:r>
          </w:p>
        </w:tc>
      </w:tr>
      <w:tr>
        <w:tc>
          <w:tcPr>
            <w:tcW w:type="dxa" w:w="2592"/>
            <w:vAlign w:val="center"/>
            <w:tcMar>
              <w:top w:w="80" w:type="dxa"/>
              <w:start w:w="80" w:type="dxa"/>
              <w:bottom w:w="80" w:type="dxa"/>
              <w:end w:w="80" w:type="dxa"/>
            </w:tcMar>
          </w:tcPr>
          <w:p>
            <w:r>
              <w:t>Consistency</w:t>
            </w:r>
          </w:p>
        </w:tc>
        <w:tc>
          <w:tcPr>
            <w:tcW w:type="dxa" w:w="2592"/>
            <w:vAlign w:val="center"/>
            <w:tcMar>
              <w:top w:w="80" w:type="dxa"/>
              <w:start w:w="80" w:type="dxa"/>
              <w:bottom w:w="80" w:type="dxa"/>
              <w:end w:w="80" w:type="dxa"/>
            </w:tcMar>
          </w:tcPr>
          <w:p>
            <w:r>
              <w:t>Are definitions, units, and identifiers stable?</w:t>
            </w:r>
          </w:p>
        </w:tc>
        <w:tc>
          <w:tcPr>
            <w:tcW w:type="dxa" w:w="2592"/>
            <w:vAlign w:val="center"/>
            <w:tcMar>
              <w:top w:w="80" w:type="dxa"/>
              <w:start w:w="80" w:type="dxa"/>
              <w:bottom w:w="80" w:type="dxa"/>
              <w:end w:w="80" w:type="dxa"/>
            </w:tcMar>
          </w:tcPr>
          <w:p>
            <w:r>
              <w:t>Units are stable; two services use different discharge-reason codes.</w:t>
            </w:r>
          </w:p>
        </w:tc>
        <w:tc>
          <w:tcPr>
            <w:tcW w:type="dxa" w:w="2592"/>
            <w:vAlign w:val="center"/>
            <w:tcMar>
              <w:top w:w="80" w:type="dxa"/>
              <w:start w:w="80" w:type="dxa"/>
              <w:bottom w:w="80" w:type="dxa"/>
              <w:end w:w="80" w:type="dxa"/>
            </w:tcMar>
          </w:tcPr>
          <w:p>
            <w:r>
              <w:t>Harmonize discharge-reason terminology.</w:t>
            </w:r>
          </w:p>
        </w:tc>
      </w:tr>
      <w:tr>
        <w:tc>
          <w:tcPr>
            <w:tcW w:type="dxa" w:w="2592"/>
            <w:vAlign w:val="center"/>
            <w:tcMar>
              <w:top w:w="80" w:type="dxa"/>
              <w:start w:w="80" w:type="dxa"/>
              <w:bottom w:w="80" w:type="dxa"/>
              <w:end w:w="80" w:type="dxa"/>
            </w:tcMar>
          </w:tcPr>
          <w:p>
            <w:r>
              <w:t>Representativeness</w:t>
            </w:r>
          </w:p>
        </w:tc>
        <w:tc>
          <w:tcPr>
            <w:tcW w:type="dxa" w:w="2592"/>
            <w:vAlign w:val="center"/>
            <w:tcMar>
              <w:top w:w="80" w:type="dxa"/>
              <w:start w:w="80" w:type="dxa"/>
              <w:bottom w:w="80" w:type="dxa"/>
              <w:end w:w="80" w:type="dxa"/>
            </w:tcMar>
          </w:tcPr>
          <w:p>
            <w:r>
              <w:t>Does the data reflect the intended population and setting?</w:t>
            </w:r>
          </w:p>
        </w:tc>
        <w:tc>
          <w:tcPr>
            <w:tcW w:type="dxa" w:w="2592"/>
            <w:vAlign w:val="center"/>
            <w:tcMar>
              <w:top w:w="80" w:type="dxa"/>
              <w:start w:w="80" w:type="dxa"/>
              <w:bottom w:w="80" w:type="dxa"/>
              <w:end w:w="80" w:type="dxa"/>
            </w:tcMar>
          </w:tcPr>
          <w:p>
            <w:r>
              <w:t>Cardiology is well represented; rural and minority-language groups are smaller.</w:t>
            </w:r>
          </w:p>
        </w:tc>
        <w:tc>
          <w:tcPr>
            <w:tcW w:type="dxa" w:w="2592"/>
            <w:vAlign w:val="center"/>
            <w:tcMar>
              <w:top w:w="80" w:type="dxa"/>
              <w:start w:w="80" w:type="dxa"/>
              <w:bottom w:w="80" w:type="dxa"/>
              <w:end w:w="80" w:type="dxa"/>
            </w:tcMar>
          </w:tcPr>
          <w:p>
            <w:r>
              <w:t>Use subgroup confidence intervals and targeted recruitment.</w:t>
            </w:r>
          </w:p>
        </w:tc>
      </w:tr>
      <w:tr>
        <w:tc>
          <w:tcPr>
            <w:tcW w:type="dxa" w:w="2592"/>
            <w:vAlign w:val="center"/>
            <w:tcMar>
              <w:top w:w="80" w:type="dxa"/>
              <w:start w:w="80" w:type="dxa"/>
              <w:bottom w:w="80" w:type="dxa"/>
              <w:end w:w="80" w:type="dxa"/>
            </w:tcMar>
          </w:tcPr>
          <w:p>
            <w:r>
              <w:t>Linkage</w:t>
            </w:r>
          </w:p>
        </w:tc>
        <w:tc>
          <w:tcPr>
            <w:tcW w:type="dxa" w:w="2592"/>
            <w:vAlign w:val="center"/>
            <w:tcMar>
              <w:top w:w="80" w:type="dxa"/>
              <w:start w:w="80" w:type="dxa"/>
              <w:bottom w:w="80" w:type="dxa"/>
              <w:end w:w="80" w:type="dxa"/>
            </w:tcMar>
          </w:tcPr>
          <w:p>
            <w:r>
              <w:t>Can records be linked across systems reliably?</w:t>
            </w:r>
          </w:p>
        </w:tc>
        <w:tc>
          <w:tcPr>
            <w:tcW w:type="dxa" w:w="2592"/>
            <w:vAlign w:val="center"/>
            <w:tcMar>
              <w:top w:w="80" w:type="dxa"/>
              <w:start w:w="80" w:type="dxa"/>
              <w:bottom w:w="80" w:type="dxa"/>
              <w:end w:w="80" w:type="dxa"/>
            </w:tcMar>
          </w:tcPr>
          <w:p>
            <w:r>
              <w:t>Internal records link reliably; external-care linkage is unavailable.</w:t>
            </w:r>
          </w:p>
        </w:tc>
        <w:tc>
          <w:tcPr>
            <w:tcW w:type="dxa" w:w="2592"/>
            <w:vAlign w:val="center"/>
            <w:tcMar>
              <w:top w:w="80" w:type="dxa"/>
              <w:start w:w="80" w:type="dxa"/>
              <w:bottom w:w="80" w:type="dxa"/>
              <w:end w:w="80" w:type="dxa"/>
            </w:tcMar>
          </w:tcPr>
          <w:p>
            <w:r>
              <w:t>Document limitation and avoid unsupported claims.</w:t>
            </w:r>
          </w:p>
        </w:tc>
      </w:tr>
      <w:tr>
        <w:tc>
          <w:tcPr>
            <w:tcW w:type="dxa" w:w="2592"/>
            <w:vAlign w:val="center"/>
            <w:tcMar>
              <w:top w:w="80" w:type="dxa"/>
              <w:start w:w="80" w:type="dxa"/>
              <w:bottom w:w="80" w:type="dxa"/>
              <w:end w:w="80" w:type="dxa"/>
            </w:tcMar>
          </w:tcPr>
          <w:p>
            <w:r>
              <w:t>Lineage</w:t>
            </w:r>
          </w:p>
        </w:tc>
        <w:tc>
          <w:tcPr>
            <w:tcW w:type="dxa" w:w="2592"/>
            <w:vAlign w:val="center"/>
            <w:tcMar>
              <w:top w:w="80" w:type="dxa"/>
              <w:start w:w="80" w:type="dxa"/>
              <w:bottom w:w="80" w:type="dxa"/>
              <w:end w:w="80" w:type="dxa"/>
            </w:tcMar>
          </w:tcPr>
          <w:p>
            <w:r>
              <w:t>Can transformations and provenance be audited?</w:t>
            </w:r>
          </w:p>
        </w:tc>
        <w:tc>
          <w:tcPr>
            <w:tcW w:type="dxa" w:w="2592"/>
            <w:vAlign w:val="center"/>
            <w:tcMar>
              <w:top w:w="80" w:type="dxa"/>
              <w:start w:w="80" w:type="dxa"/>
              <w:bottom w:w="80" w:type="dxa"/>
              <w:end w:w="80" w:type="dxa"/>
            </w:tcMar>
          </w:tcPr>
          <w:p>
            <w:r>
              <w:t>Transformations are version controlled in the pilot pipeline.</w:t>
            </w:r>
          </w:p>
        </w:tc>
        <w:tc>
          <w:tcPr>
            <w:tcW w:type="dxa" w:w="2592"/>
            <w:vAlign w:val="center"/>
            <w:tcMar>
              <w:top w:w="80" w:type="dxa"/>
              <w:start w:w="80" w:type="dxa"/>
              <w:bottom w:w="80" w:type="dxa"/>
              <w:end w:w="80" w:type="dxa"/>
            </w:tcMar>
          </w:tcPr>
          <w:p>
            <w:r>
              <w:t>Retain code, data dictionary, and model version.</w:t>
            </w:r>
          </w:p>
        </w:tc>
      </w:tr>
      <w:tr>
        <w:tc>
          <w:tcPr>
            <w:tcW w:type="dxa" w:w="2592"/>
            <w:vAlign w:val="center"/>
            <w:tcMar>
              <w:top w:w="80" w:type="dxa"/>
              <w:start w:w="80" w:type="dxa"/>
              <w:bottom w:w="80" w:type="dxa"/>
              <w:end w:w="80" w:type="dxa"/>
            </w:tcMar>
          </w:tcPr>
          <w:p>
            <w:r>
              <w:t>Bias</w:t>
            </w:r>
          </w:p>
        </w:tc>
        <w:tc>
          <w:tcPr>
            <w:tcW w:type="dxa" w:w="2592"/>
            <w:vAlign w:val="center"/>
            <w:tcMar>
              <w:top w:w="80" w:type="dxa"/>
              <w:start w:w="80" w:type="dxa"/>
              <w:bottom w:w="80" w:type="dxa"/>
              <w:end w:w="80" w:type="dxa"/>
            </w:tcMar>
          </w:tcPr>
          <w:p>
            <w:r>
              <w:t>Could documentation, access, or measurement patterns bias the system?</w:t>
            </w:r>
          </w:p>
        </w:tc>
        <w:tc>
          <w:tcPr>
            <w:tcW w:type="dxa" w:w="2592"/>
            <w:vAlign w:val="center"/>
            <w:tcMar>
              <w:top w:w="80" w:type="dxa"/>
              <w:start w:w="80" w:type="dxa"/>
              <w:bottom w:w="80" w:type="dxa"/>
              <w:end w:w="80" w:type="dxa"/>
            </w:tcMar>
          </w:tcPr>
          <w:p>
            <w:r>
              <w:t>Missing external-care data may disadvantage rural patients.</w:t>
            </w:r>
          </w:p>
        </w:tc>
        <w:tc>
          <w:tcPr>
            <w:tcW w:type="dxa" w:w="2592"/>
            <w:vAlign w:val="center"/>
            <w:tcMar>
              <w:top w:w="80" w:type="dxa"/>
              <w:start w:w="80" w:type="dxa"/>
              <w:bottom w:w="80" w:type="dxa"/>
              <w:end w:w="80" w:type="dxa"/>
            </w:tcMar>
          </w:tcPr>
          <w:p>
            <w:r>
              <w:t>Perform an equity audit and consider targeted support.</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AIHE-Y worked example</dc:title>
  <dc:creator/>
  <ns0:lastModifiedBy/>
  <ns2:created xsi:type="dcterms:W3CDTF">2026-08-06T00:00:00Z</ns2:created>
  <ns2:modified xsi:type="dcterms:W3CDTF">2026-08-06T00:00:00Z</ns2:modified>
</ns0:coreProperties>
</file>