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Benefit Realization and Capacity Conversion</w:t>
      </w:r>
    </w:p>
    <w:p>
      <w:pPr>
        <w:jc w:val="center"/>
      </w:pPr>
      <w:r>
        <w:rPr>
          <w:b/>
          <w:color w:val="7A2334"/>
        </w:rPr>
        <w:t>AIHE-B03</w:t>
      </w:r>
    </w:p>
    <w:p>
      <w:pPr>
        <w:spacing w:after="40"/>
      </w:pPr>
      <w:r>
        <w:rPr>
          <w:b/>
        </w:rPr>
        <w:t xml:space="preserve">Primary chapter: </w:t>
      </w:r>
      <w:r>
        <w:t>4 — Productivity, Workforce Redesign, and Implementation</w:t>
      </w:r>
    </w:p>
    <w:p>
      <w:pPr>
        <w:spacing w:after="40"/>
      </w:pPr>
      <w:r>
        <w:rPr>
          <w:b/>
        </w:rPr>
        <w:t xml:space="preserve">Additional chapter alignment: </w:t>
      </w:r>
      <w:r>
        <w:t>4, 6, 7, 12</w:t>
      </w:r>
    </w:p>
    <w:p>
      <w:pPr>
        <w:spacing w:after="40"/>
      </w:pPr>
      <w:r>
        <w:rPr>
          <w:b/>
        </w:rPr>
        <w:t xml:space="preserve">Legacy aliases: </w:t>
      </w:r>
      <w:r>
        <w:t>AIHE-Z, AIHE-EX07</w:t>
      </w:r>
    </w:p>
    <w:p>
      <w:pPr>
        <w:spacing w:after="40"/>
      </w:pPr>
      <w:r>
        <w:rPr>
          <w:b/>
        </w:rPr>
        <w:t xml:space="preserve">Version: </w:t>
      </w:r>
      <w:r>
        <w:t>V1.0</w:t>
      </w:r>
    </w:p>
    <w:p>
      <w:pPr>
        <w:pStyle w:val="Heading1"/>
      </w:pPr>
      <w:r>
        <w:t>Purpose</w:t>
      </w:r>
    </w:p>
    <w:p>
      <w:r>
        <w:t>Translate claimed benefits into measurable mechanisms, owners, baselines, conversion conditions, and realized results.</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documentation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7A2334"/>
          </w:tcPr>
          <w:p>
            <w:r>
              <w:rPr>
                <w:b/>
                <w:color w:val="FFFFFF"/>
                <w:sz w:val="18"/>
              </w:rPr>
              <w:t>Claimed benefit</w:t>
            </w:r>
          </w:p>
        </w:tc>
        <w:tc>
          <w:tcPr>
            <w:tcW w:type="dxa" w:w="2016"/>
            <w:shd w:fill="7A2334"/>
          </w:tcPr>
          <w:p>
            <w:r>
              <w:rPr>
                <w:b/>
                <w:color w:val="FFFFFF"/>
                <w:sz w:val="18"/>
              </w:rPr>
              <w:t>Causal mechanism and comparator</w:t>
            </w:r>
          </w:p>
        </w:tc>
        <w:tc>
          <w:tcPr>
            <w:tcW w:type="dxa" w:w="2016"/>
            <w:shd w:fill="7A2334"/>
          </w:tcPr>
          <w:p>
            <w:r>
              <w:rPr>
                <w:b/>
                <w:color w:val="FFFFFF"/>
                <w:sz w:val="18"/>
              </w:rPr>
              <w:t>Measure, baseline, and evidence</w:t>
            </w:r>
          </w:p>
        </w:tc>
        <w:tc>
          <w:tcPr>
            <w:tcW w:type="dxa" w:w="2016"/>
            <w:shd w:fill="7A2334"/>
          </w:tcPr>
          <w:p>
            <w:r>
              <w:rPr>
                <w:b/>
                <w:color w:val="FFFFFF"/>
                <w:sz w:val="18"/>
              </w:rPr>
              <w:t>Owner and timing</w:t>
            </w:r>
          </w:p>
        </w:tc>
        <w:tc>
          <w:tcPr>
            <w:tcW w:type="dxa" w:w="2016"/>
            <w:shd w:fill="7A2334"/>
          </w:tcPr>
          <w:p>
            <w:r>
              <w:rPr>
                <w:b/>
                <w:color w:val="FFFFFF"/>
                <w:sz w:val="18"/>
              </w:rPr>
              <w:t>Review burden, conversion condition, and realized result</w:t>
            </w:r>
          </w:p>
        </w:tc>
      </w:tr>
      <w:tr>
        <w:tc>
          <w:tcPr>
            <w:tcW w:type="dxa" w:w="2016"/>
            <w:vAlign w:val="top"/>
            <w:shd w:fill="F2E8EB"/>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r>
        <w:tc>
          <w:tcPr>
            <w:tcW w:type="dxa" w:w="2016"/>
            <w:vAlign w:val="top"/>
            <w:shd w:fill="F2E8EB"/>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c>
          <w:tcPr>
            <w:tcW w:type="dxa" w:w="2016"/>
            <w:vAlign w:val="top"/>
          </w:tcPr>
          <w:p>
            <w:r>
              <w:rPr>
                <w:sz w:val="17"/>
              </w:rPr>
            </w:r>
          </w:p>
        </w:tc>
      </w:tr>
    </w:tbl>
    <w:p>
      <w:r>
        <w:br w:type="page"/>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52565A"/>
          </w:tcPr>
          <w:p>
            <w:r>
              <w:rPr>
                <w:b/>
                <w:color w:val="FFFFFF"/>
                <w:sz w:val="18"/>
              </w:rPr>
              <w:t>Claimed benefit</w:t>
            </w:r>
          </w:p>
        </w:tc>
        <w:tc>
          <w:tcPr>
            <w:tcW w:type="dxa" w:w="2016"/>
            <w:shd w:fill="52565A"/>
          </w:tcPr>
          <w:p>
            <w:r>
              <w:rPr>
                <w:b/>
                <w:color w:val="FFFFFF"/>
                <w:sz w:val="18"/>
              </w:rPr>
              <w:t>Causal mechanism and comparator</w:t>
            </w:r>
          </w:p>
        </w:tc>
        <w:tc>
          <w:tcPr>
            <w:tcW w:type="dxa" w:w="2016"/>
            <w:shd w:fill="52565A"/>
          </w:tcPr>
          <w:p>
            <w:r>
              <w:rPr>
                <w:b/>
                <w:color w:val="FFFFFF"/>
                <w:sz w:val="18"/>
              </w:rPr>
              <w:t>Measure, baseline, and evidence</w:t>
            </w:r>
          </w:p>
        </w:tc>
        <w:tc>
          <w:tcPr>
            <w:tcW w:type="dxa" w:w="2016"/>
            <w:shd w:fill="52565A"/>
          </w:tcPr>
          <w:p>
            <w:r>
              <w:rPr>
                <w:b/>
                <w:color w:val="FFFFFF"/>
                <w:sz w:val="18"/>
              </w:rPr>
              <w:t>Owner and timing</w:t>
            </w:r>
          </w:p>
        </w:tc>
        <w:tc>
          <w:tcPr>
            <w:tcW w:type="dxa" w:w="2016"/>
            <w:shd w:fill="52565A"/>
          </w:tcPr>
          <w:p>
            <w:r>
              <w:rPr>
                <w:b/>
                <w:color w:val="FFFFFF"/>
                <w:sz w:val="18"/>
              </w:rPr>
              <w:t>Review burden, conversion condition, and realized result</w:t>
            </w:r>
          </w:p>
        </w:tc>
      </w:tr>
      <w:tr>
        <w:tc>
          <w:tcPr>
            <w:tcW w:type="dxa" w:w="2016"/>
            <w:vAlign w:val="top"/>
            <w:shd w:fill="EFEFEF"/>
          </w:tcPr>
          <w:p>
            <w:r>
              <w:rPr>
                <w:sz w:val="17"/>
              </w:rPr>
              <w:t>Reduced documentation burden</w:t>
            </w:r>
          </w:p>
        </w:tc>
        <w:tc>
          <w:tcPr>
            <w:tcW w:type="dxa" w:w="2016"/>
            <w:vAlign w:val="top"/>
          </w:tcPr>
          <w:p>
            <w:r>
              <w:rPr>
                <w:sz w:val="17"/>
              </w:rPr>
              <w:t>Synthetic example for Reduced documentation burden; replace with local evidence.</w:t>
            </w:r>
          </w:p>
        </w:tc>
        <w:tc>
          <w:tcPr>
            <w:tcW w:type="dxa" w:w="2016"/>
            <w:vAlign w:val="top"/>
          </w:tcPr>
          <w:p>
            <w:r>
              <w:rPr>
                <w:sz w:val="17"/>
              </w:rPr>
              <w:t>Synthetic local baseline report; controlled dataset v1.2; evidence cut-off 2026-01-31.</w:t>
            </w:r>
          </w:p>
        </w:tc>
        <w:tc>
          <w:tcPr>
            <w:tcW w:type="dxa" w:w="2016"/>
            <w:vAlign w:val="top"/>
          </w:tcPr>
          <w:p>
            <w:r>
              <w:rPr>
                <w:sz w:val="17"/>
              </w:rPr>
              <w:t>Clinical service lead</w:t>
            </w:r>
          </w:p>
        </w:tc>
        <w:tc>
          <w:tcPr>
            <w:tcW w:type="dxa" w:w="2016"/>
            <w:vAlign w:val="top"/>
          </w:tcPr>
          <w:p>
            <w:r>
              <w:rPr>
                <w:sz w:val="17"/>
              </w:rPr>
              <w:t>Proceed conditionally after documented remediation, owner approval, and verification.</w:t>
            </w:r>
          </w:p>
        </w:tc>
      </w:tr>
      <w:tr>
        <w:tc>
          <w:tcPr>
            <w:tcW w:type="dxa" w:w="2016"/>
            <w:vAlign w:val="top"/>
            <w:shd w:fill="EFEFEF"/>
          </w:tcPr>
          <w:p>
            <w:r>
              <w:rPr>
                <w:sz w:val="17"/>
              </w:rPr>
              <w:t>Avoided duplicate imaging</w:t>
            </w:r>
          </w:p>
        </w:tc>
        <w:tc>
          <w:tcPr>
            <w:tcW w:type="dxa" w:w="2016"/>
            <w:vAlign w:val="top"/>
          </w:tcPr>
          <w:p>
            <w:r>
              <w:rPr>
                <w:sz w:val="17"/>
              </w:rPr>
              <w:t>Synthetic example for Avoided duplicate imaging; replace with local evidence.</w:t>
            </w:r>
          </w:p>
        </w:tc>
        <w:tc>
          <w:tcPr>
            <w:tcW w:type="dxa" w:w="2016"/>
            <w:vAlign w:val="top"/>
          </w:tcPr>
          <w:p>
            <w:r>
              <w:rPr>
                <w:sz w:val="17"/>
              </w:rPr>
              <w:t>Synthetic local baseline report; controlled dataset v1.2; evidence cut-off 2026-01-31.</w:t>
            </w:r>
          </w:p>
        </w:tc>
        <w:tc>
          <w:tcPr>
            <w:tcW w:type="dxa" w:w="2016"/>
            <w:vAlign w:val="top"/>
          </w:tcPr>
          <w:p>
            <w:r>
              <w:rPr>
                <w:sz w:val="17"/>
              </w:rPr>
              <w:t>Quality lead</w:t>
            </w:r>
          </w:p>
        </w:tc>
        <w:tc>
          <w:tcPr>
            <w:tcW w:type="dxa" w:w="2016"/>
            <w:vAlign w:val="top"/>
          </w:tcPr>
          <w:p>
            <w:r>
              <w:rPr>
                <w:sz w:val="17"/>
              </w:rPr>
              <w:t>Proceed conditionally after documented remediation, owner approval, and verification.</w:t>
            </w:r>
          </w:p>
        </w:tc>
      </w:tr>
      <w:tr>
        <w:tc>
          <w:tcPr>
            <w:tcW w:type="dxa" w:w="2016"/>
            <w:vAlign w:val="top"/>
            <w:shd w:fill="EFEFEF"/>
          </w:tcPr>
          <w:p>
            <w:r>
              <w:rPr>
                <w:sz w:val="17"/>
              </w:rPr>
              <w:t>Released triage capacity</w:t>
            </w:r>
          </w:p>
        </w:tc>
        <w:tc>
          <w:tcPr>
            <w:tcW w:type="dxa" w:w="2016"/>
            <w:vAlign w:val="top"/>
          </w:tcPr>
          <w:p>
            <w:r>
              <w:rPr>
                <w:sz w:val="17"/>
              </w:rPr>
              <w:t>Synthetic example for Released triage capacity; replace with local evidence.</w:t>
            </w:r>
          </w:p>
        </w:tc>
        <w:tc>
          <w:tcPr>
            <w:tcW w:type="dxa" w:w="2016"/>
            <w:vAlign w:val="top"/>
          </w:tcPr>
          <w:p>
            <w:r>
              <w:rPr>
                <w:sz w:val="17"/>
              </w:rPr>
              <w:t>Synthetic local baseline report; controlled dataset v1.2; evidence cut-off 2026-01-31.</w:t>
            </w:r>
          </w:p>
        </w:tc>
        <w:tc>
          <w:tcPr>
            <w:tcW w:type="dxa" w:w="2016"/>
            <w:vAlign w:val="top"/>
          </w:tcPr>
          <w:p>
            <w:r>
              <w:rPr>
                <w:sz w:val="17"/>
              </w:rPr>
              <w:t>Data steward</w:t>
            </w:r>
          </w:p>
        </w:tc>
        <w:tc>
          <w:tcPr>
            <w:tcW w:type="dxa" w:w="2016"/>
            <w:vAlign w:val="top"/>
          </w:tcPr>
          <w:p>
            <w:r>
              <w:rPr>
                <w:sz w:val="17"/>
              </w:rPr>
              <w:t>Proceed conditionally after documented remediation, owner approval, and verification.</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AIHE-B03 | V1.0 | Create a governed copy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AIHE-B03 template and worked example</dc:title>
  <dc:creator/>
  <ns0:lastModifiedBy/>
  <ns2:created xsi:type="dcterms:W3CDTF">2026-08-06T00:00:00Z</ns2:created>
  <ns2:modified xsi:type="dcterms:W3CDTF">2026-08-06T00:00:00Z</ns2:modified>
</ns0:coreProperties>
</file>