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color w:val="1F4E79"/>
        </w:rPr>
        <w:t>AIHE-Z — ROI and Workflow Value Worksheet</w:t>
      </w:r>
    </w:p>
    <w:p>
      <w:r>
        <w:rPr>
          <w:rFonts w:ascii="Arial" w:hAnsi="Arial"/>
          <w:color w:val="595959"/>
          <w:sz w:val="17"/>
        </w:rPr>
        <w:t>Current digital location: Resource Set B — Economic Evaluation, Evidence, and Decision Modeling. Stable resource ID retained for continuity across companion editions.</w:t>
      </w:r>
    </w:p>
    <w:p>
      <w:pPr>
        <w:jc w:val="center"/>
      </w:pPr>
      <w:r>
        <w:rPr>
          <w:i/>
          <w:color w:val="595959"/>
        </w:rPr>
        <w:t>AI and Healthcare Economics Companion Resource</w:t>
      </w:r>
    </w:p>
    <w:tbl>
      <w:tblPr>
        <w:tblStyle w:val="TableGrid"/>
        <w:tblW w:type="auto" w:w="0"/>
        <w:jc w:val="center"/>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AIHE-Z</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er"/>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er"/>
          </w:tcPr>
          <w:p>
            <w:pPr>
              <w:jc w:val="left"/>
            </w:pPr>
            <w:r/>
            <w:r>
              <w:rPr>
                <w:b w:val="0"/>
                <w:sz w:val="18"/>
              </w:rPr>
              <w:t>Chapter 4: Productivity, Workforce Redesign, and Implementation; Chapter 6: Lifecycle Cost, Pricing, and Benefit Realization; Chapter 7: Economic Evaluation, Affordability, and HTA</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for teaching.</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center"/>
            <w:tcMar>
              <w:top w:w="80" w:type="dxa"/>
              <w:start w:w="80" w:type="dxa"/>
              <w:bottom w:w="80" w:type="dxa"/>
              <w:end w:w="80" w:type="dxa"/>
            </w:tcMar>
            <w:shd w:fill="D9EAF7"/>
          </w:tcPr>
          <w:p>
            <w:r>
              <w:rPr>
                <w:b/>
              </w:rPr>
              <w:t>Input</w:t>
            </w:r>
          </w:p>
        </w:tc>
        <w:tc>
          <w:tcPr>
            <w:tcW w:type="dxa" w:w="3456"/>
            <w:vAlign w:val="center"/>
            <w:tcMar>
              <w:top w:w="80" w:type="dxa"/>
              <w:start w:w="80" w:type="dxa"/>
              <w:bottom w:w="80" w:type="dxa"/>
              <w:end w:w="80" w:type="dxa"/>
            </w:tcMar>
            <w:shd w:fill="D9EAF7"/>
          </w:tcPr>
          <w:p>
            <w:r>
              <w:rPr>
                <w:b/>
              </w:rPr>
              <w:t>Amount or evidence</w:t>
            </w:r>
          </w:p>
        </w:tc>
        <w:tc>
          <w:tcPr>
            <w:tcW w:type="dxa" w:w="3456"/>
            <w:vAlign w:val="center"/>
            <w:tcMar>
              <w:top w:w="80" w:type="dxa"/>
              <w:start w:w="80" w:type="dxa"/>
              <w:bottom w:w="80" w:type="dxa"/>
              <w:end w:w="80" w:type="dxa"/>
            </w:tcMar>
            <w:shd w:fill="D9EAF7"/>
          </w:tcPr>
          <w:p>
            <w:r>
              <w:rPr>
                <w:b/>
              </w:rPr>
              <w:t>Notes</w:t>
            </w:r>
          </w:p>
        </w:tc>
      </w:tr>
      <w:tr>
        <w:tc>
          <w:tcPr>
            <w:tcW w:type="dxa" w:w="3456"/>
            <w:vAlign w:val="center"/>
            <w:tcMar>
              <w:top w:w="80" w:type="dxa"/>
              <w:start w:w="80" w:type="dxa"/>
              <w:bottom w:w="80" w:type="dxa"/>
              <w:end w:w="80" w:type="dxa"/>
            </w:tcMar>
          </w:tcPr>
          <w:p>
            <w:r>
              <w:t>Total lifecycle cost</w:t>
            </w:r>
          </w:p>
        </w:tc>
        <w:tc>
          <w:tcPr>
            <w:tcW w:type="dxa" w:w="3456"/>
            <w:vAlign w:val="center"/>
            <w:tcMar>
              <w:top w:w="80" w:type="dxa"/>
              <w:start w:w="80" w:type="dxa"/>
              <w:bottom w:w="80" w:type="dxa"/>
              <w:end w:w="80" w:type="dxa"/>
            </w:tcMar>
          </w:tcPr>
          <w:p>
            <w:r>
              <w:t>195000</w:t>
            </w:r>
          </w:p>
        </w:tc>
        <w:tc>
          <w:tcPr>
            <w:tcW w:type="dxa" w:w="3456"/>
            <w:vAlign w:val="center"/>
            <w:tcMar>
              <w:top w:w="80" w:type="dxa"/>
              <w:start w:w="80" w:type="dxa"/>
              <w:bottom w:w="80" w:type="dxa"/>
              <w:end w:w="80" w:type="dxa"/>
            </w:tcMar>
          </w:tcPr>
          <w:p>
            <w:r>
              <w:t>195000</w:t>
            </w:r>
          </w:p>
        </w:tc>
      </w:tr>
      <w:tr>
        <w:tc>
          <w:tcPr>
            <w:tcW w:type="dxa" w:w="3456"/>
            <w:vAlign w:val="center"/>
            <w:tcMar>
              <w:top w:w="80" w:type="dxa"/>
              <w:start w:w="80" w:type="dxa"/>
              <w:bottom w:w="80" w:type="dxa"/>
              <w:end w:w="80" w:type="dxa"/>
            </w:tcMar>
          </w:tcPr>
          <w:p>
            <w:r>
              <w:t>Time savings</w:t>
            </w:r>
          </w:p>
        </w:tc>
        <w:tc>
          <w:tcPr>
            <w:tcW w:type="dxa" w:w="3456"/>
            <w:vAlign w:val="center"/>
            <w:tcMar>
              <w:top w:w="80" w:type="dxa"/>
              <w:start w:w="80" w:type="dxa"/>
              <w:bottom w:w="80" w:type="dxa"/>
              <w:end w:w="80" w:type="dxa"/>
            </w:tcMar>
          </w:tcPr>
          <w:p>
            <w:r>
              <w:t>EUR 120,000 equivalent gross time value; EUR 70,000 realizable capacity.</w:t>
            </w:r>
          </w:p>
        </w:tc>
        <w:tc>
          <w:tcPr>
            <w:tcW w:type="dxa" w:w="3456"/>
            <w:vAlign w:val="center"/>
            <w:tcMar>
              <w:top w:w="80" w:type="dxa"/>
              <w:start w:w="80" w:type="dxa"/>
              <w:bottom w:w="80" w:type="dxa"/>
              <w:end w:w="80" w:type="dxa"/>
            </w:tcMar>
          </w:tcPr>
          <w:p>
            <w:r>
              <w:t>EUR 120,000 equivalent gross time value; EUR 70,000 realizable capacity.</w:t>
            </w:r>
          </w:p>
        </w:tc>
      </w:tr>
      <w:tr>
        <w:tc>
          <w:tcPr>
            <w:tcW w:type="dxa" w:w="3456"/>
            <w:vAlign w:val="center"/>
            <w:tcMar>
              <w:top w:w="80" w:type="dxa"/>
              <w:start w:w="80" w:type="dxa"/>
              <w:bottom w:w="80" w:type="dxa"/>
              <w:end w:w="80" w:type="dxa"/>
            </w:tcMar>
          </w:tcPr>
          <w:p>
            <w:r>
              <w:t>Avoided events</w:t>
            </w:r>
          </w:p>
        </w:tc>
        <w:tc>
          <w:tcPr>
            <w:tcW w:type="dxa" w:w="3456"/>
            <w:vAlign w:val="center"/>
            <w:tcMar>
              <w:top w:w="80" w:type="dxa"/>
              <w:start w:w="80" w:type="dxa"/>
              <w:bottom w:w="80" w:type="dxa"/>
              <w:end w:w="80" w:type="dxa"/>
            </w:tcMar>
          </w:tcPr>
          <w:p>
            <w:r>
              <w:t>10 readmissions × EUR 8,000 = EUR 80,000.</w:t>
            </w:r>
          </w:p>
        </w:tc>
        <w:tc>
          <w:tcPr>
            <w:tcW w:type="dxa" w:w="3456"/>
            <w:vAlign w:val="center"/>
            <w:tcMar>
              <w:top w:w="80" w:type="dxa"/>
              <w:start w:w="80" w:type="dxa"/>
              <w:bottom w:w="80" w:type="dxa"/>
              <w:end w:w="80" w:type="dxa"/>
            </w:tcMar>
          </w:tcPr>
          <w:p>
            <w:r>
              <w:t>10 readmissions × EUR 8,000 = EUR 80,000.</w:t>
            </w:r>
          </w:p>
        </w:tc>
      </w:tr>
      <w:tr>
        <w:tc>
          <w:tcPr>
            <w:tcW w:type="dxa" w:w="3456"/>
            <w:vAlign w:val="center"/>
            <w:tcMar>
              <w:top w:w="80" w:type="dxa"/>
              <w:start w:w="80" w:type="dxa"/>
              <w:bottom w:w="80" w:type="dxa"/>
              <w:end w:w="80" w:type="dxa"/>
            </w:tcMar>
          </w:tcPr>
          <w:p>
            <w:r>
              <w:t>Administrative savings</w:t>
            </w:r>
          </w:p>
        </w:tc>
        <w:tc>
          <w:tcPr>
            <w:tcW w:type="dxa" w:w="3456"/>
            <w:vAlign w:val="center"/>
            <w:tcMar>
              <w:top w:w="80" w:type="dxa"/>
              <w:start w:w="80" w:type="dxa"/>
              <w:bottom w:w="80" w:type="dxa"/>
              <w:end w:w="80" w:type="dxa"/>
            </w:tcMar>
          </w:tcPr>
          <w:p>
            <w:r>
              <w:t>EUR 40,000 after verification and rework.</w:t>
            </w:r>
          </w:p>
        </w:tc>
        <w:tc>
          <w:tcPr>
            <w:tcW w:type="dxa" w:w="3456"/>
            <w:vAlign w:val="center"/>
            <w:tcMar>
              <w:top w:w="80" w:type="dxa"/>
              <w:start w:w="80" w:type="dxa"/>
              <w:bottom w:w="80" w:type="dxa"/>
              <w:end w:w="80" w:type="dxa"/>
            </w:tcMar>
          </w:tcPr>
          <w:p>
            <w:r>
              <w:t>EUR 40,000 after verification and rework.</w:t>
            </w:r>
          </w:p>
        </w:tc>
      </w:tr>
      <w:tr>
        <w:tc>
          <w:tcPr>
            <w:tcW w:type="dxa" w:w="3456"/>
            <w:vAlign w:val="center"/>
            <w:tcMar>
              <w:top w:w="80" w:type="dxa"/>
              <w:start w:w="80" w:type="dxa"/>
              <w:bottom w:w="80" w:type="dxa"/>
              <w:end w:w="80" w:type="dxa"/>
            </w:tcMar>
          </w:tcPr>
          <w:p>
            <w:r>
              <w:t>Quality and access benefits</w:t>
            </w:r>
          </w:p>
        </w:tc>
        <w:tc>
          <w:tcPr>
            <w:tcW w:type="dxa" w:w="3456"/>
            <w:vAlign w:val="center"/>
            <w:tcMar>
              <w:top w:w="80" w:type="dxa"/>
              <w:start w:w="80" w:type="dxa"/>
              <w:bottom w:w="80" w:type="dxa"/>
              <w:end w:w="80" w:type="dxa"/>
            </w:tcMar>
          </w:tcPr>
          <w:p>
            <w:r>
              <w:t>Improved targeting and follow-up completion; not monetized in base case.</w:t>
            </w:r>
          </w:p>
        </w:tc>
        <w:tc>
          <w:tcPr>
            <w:tcW w:type="dxa" w:w="3456"/>
            <w:vAlign w:val="center"/>
            <w:tcMar>
              <w:top w:w="80" w:type="dxa"/>
              <w:start w:w="80" w:type="dxa"/>
              <w:bottom w:w="80" w:type="dxa"/>
              <w:end w:w="80" w:type="dxa"/>
            </w:tcMar>
          </w:tcPr>
          <w:p>
            <w:r>
              <w:t>Improved targeting and follow-up completion; not monetized in base case.</w:t>
            </w:r>
          </w:p>
        </w:tc>
      </w:tr>
      <w:tr>
        <w:tc>
          <w:tcPr>
            <w:tcW w:type="dxa" w:w="3456"/>
            <w:vAlign w:val="center"/>
            <w:tcMar>
              <w:top w:w="80" w:type="dxa"/>
              <w:start w:w="80" w:type="dxa"/>
              <w:bottom w:w="80" w:type="dxa"/>
              <w:end w:w="80" w:type="dxa"/>
            </w:tcMar>
          </w:tcPr>
          <w:p>
            <w:r>
              <w:t>Net benefit</w:t>
            </w:r>
          </w:p>
        </w:tc>
        <w:tc>
          <w:tcPr>
            <w:tcW w:type="dxa" w:w="3456"/>
            <w:vAlign w:val="center"/>
            <w:tcMar>
              <w:top w:w="80" w:type="dxa"/>
              <w:start w:w="80" w:type="dxa"/>
              <w:bottom w:w="80" w:type="dxa"/>
              <w:end w:w="80" w:type="dxa"/>
            </w:tcMar>
          </w:tcPr>
          <w:p>
            <w:r>
              <w:t>25000</w:t>
            </w:r>
          </w:p>
        </w:tc>
        <w:tc>
          <w:tcPr>
            <w:tcW w:type="dxa" w:w="3456"/>
            <w:vAlign w:val="center"/>
            <w:tcMar>
              <w:top w:w="80" w:type="dxa"/>
              <w:start w:w="80" w:type="dxa"/>
              <w:bottom w:w="80" w:type="dxa"/>
              <w:end w:w="80" w:type="dxa"/>
            </w:tcMar>
          </w:tcPr>
          <w:p>
            <w:r>
              <w:t>25000</w:t>
            </w:r>
          </w:p>
        </w:tc>
      </w:tr>
      <w:tr>
        <w:tc>
          <w:tcPr>
            <w:tcW w:type="dxa" w:w="3456"/>
            <w:vAlign w:val="center"/>
            <w:tcMar>
              <w:top w:w="80" w:type="dxa"/>
              <w:start w:w="80" w:type="dxa"/>
              <w:bottom w:w="80" w:type="dxa"/>
              <w:end w:w="80" w:type="dxa"/>
            </w:tcMar>
          </w:tcPr>
          <w:p>
            <w:r>
              <w:t>ROI</w:t>
            </w:r>
          </w:p>
        </w:tc>
        <w:tc>
          <w:tcPr>
            <w:tcW w:type="dxa" w:w="3456"/>
            <w:vAlign w:val="center"/>
            <w:tcMar>
              <w:top w:w="80" w:type="dxa"/>
              <w:start w:w="80" w:type="dxa"/>
              <w:bottom w:w="80" w:type="dxa"/>
              <w:end w:w="80" w:type="dxa"/>
            </w:tcMar>
          </w:tcPr>
          <w:p>
            <w:r>
              <w:t>12.8%</w:t>
            </w:r>
          </w:p>
        </w:tc>
        <w:tc>
          <w:tcPr>
            <w:tcW w:type="dxa" w:w="3456"/>
            <w:vAlign w:val="center"/>
            <w:tcMar>
              <w:top w:w="80" w:type="dxa"/>
              <w:start w:w="80" w:type="dxa"/>
              <w:bottom w:w="80" w:type="dxa"/>
              <w:end w:w="80" w:type="dxa"/>
            </w:tcMar>
          </w:tcPr>
          <w:p>
            <w:r>
              <w:t>12.8%</w:t>
            </w:r>
          </w:p>
        </w:tc>
      </w:tr>
      <w:tr>
        <w:tc>
          <w:tcPr>
            <w:tcW w:type="dxa" w:w="3456"/>
            <w:vAlign w:val="center"/>
            <w:tcMar>
              <w:top w:w="80" w:type="dxa"/>
              <w:start w:w="80" w:type="dxa"/>
              <w:bottom w:w="80" w:type="dxa"/>
              <w:end w:w="80" w:type="dxa"/>
            </w:tcMar>
          </w:tcPr>
          <w:p>
            <w:r>
              <w:t>Limitations</w:t>
            </w:r>
          </w:p>
        </w:tc>
        <w:tc>
          <w:tcPr>
            <w:tcW w:type="dxa" w:w="3456"/>
            <w:vAlign w:val="center"/>
            <w:tcMar>
              <w:top w:w="80" w:type="dxa"/>
              <w:start w:w="80" w:type="dxa"/>
              <w:bottom w:w="80" w:type="dxa"/>
              <w:end w:w="80" w:type="dxa"/>
            </w:tcMar>
          </w:tcPr>
          <w:p>
            <w:r>
              <w:t>Illustrative only; causal attribution, capacity, and subgroup effects remain uncertain.</w:t>
            </w:r>
          </w:p>
        </w:tc>
        <w:tc>
          <w:tcPr>
            <w:tcW w:type="dxa" w:w="3456"/>
            <w:vAlign w:val="center"/>
            <w:tcMar>
              <w:top w:w="80" w:type="dxa"/>
              <w:start w:w="80" w:type="dxa"/>
              <w:bottom w:w="80" w:type="dxa"/>
              <w:end w:w="80" w:type="dxa"/>
            </w:tcMar>
          </w:tcPr>
          <w:p>
            <w:r>
              <w:t>Illustrative only; causal attribution, capacity, and subgroup effects remain uncertain.</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4"/>
      </w:rPr>
      <w:t>Copyright © 2026 Author(s) of Artificial Intelligence and Healthcare Economics | V1.0 | CC BY-NC 4.0 content notice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AIHE-Z worked example</dc:title>
  <dc:creator/>
  <ns0:lastModifiedBy/>
  <ns2:created xsi:type="dcterms:W3CDTF">2026-08-06T00:00:00Z</ns2:created>
  <ns2:modified xsi:type="dcterms:W3CDTF">2026-08-06T00:00:00Z</ns2:modified>
</ns0:coreProperties>
</file>