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Model Selection, Uncertainty, and Reproducibility</w:t>
      </w:r>
    </w:p>
    <w:p>
      <w:pPr>
        <w:jc w:val="center"/>
      </w:pPr>
      <w:r>
        <w:rPr>
          <w:b/>
          <w:color w:val="7A2334"/>
        </w:rPr>
        <w:t>AIHE-B05</w:t>
      </w:r>
    </w:p>
    <w:p>
      <w:pPr>
        <w:spacing w:after="40"/>
      </w:pPr>
      <w:r>
        <w:rPr>
          <w:b/>
        </w:rPr>
        <w:t xml:space="preserve">Primary chapter: </w:t>
      </w:r>
      <w:r>
        <w:t>8 — Decision Modelling and Simulation Under Uncertainty</w:t>
      </w:r>
    </w:p>
    <w:p>
      <w:pPr>
        <w:spacing w:after="40"/>
      </w:pPr>
      <w:r>
        <w:rPr>
          <w:b/>
        </w:rPr>
        <w:t xml:space="preserve">Additional chapter alignment: </w:t>
      </w:r>
      <w:r>
        <w:t>8, 11, 15</w:t>
      </w:r>
    </w:p>
    <w:p>
      <w:pPr>
        <w:spacing w:after="40"/>
      </w:pPr>
      <w:r>
        <w:rPr>
          <w:b/>
        </w:rPr>
        <w:t xml:space="preserve">Legacy aliases: </w:t>
      </w:r>
      <w:r>
        <w:t>AIHE-EX15, AIHE-EX16, AIHE-AF, AIHE-EX04, AIHE-EX05, AIHE-EX06</w:t>
      </w:r>
    </w:p>
    <w:p>
      <w:pPr>
        <w:spacing w:after="40"/>
      </w:pPr>
      <w:r>
        <w:rPr>
          <w:b/>
        </w:rPr>
        <w:t xml:space="preserve">Version: </w:t>
      </w:r>
      <w:r>
        <w:t>V1.0</w:t>
      </w:r>
    </w:p>
    <w:p>
      <w:pPr>
        <w:pStyle w:val="Heading1"/>
      </w:pPr>
      <w:r>
        <w:t>Purpose</w:t>
      </w:r>
    </w:p>
    <w:p>
      <w:r>
        <w:t>Select a decision model from the problem structure and document evidence, verification, uncertainty, and reproducibility.</w:t>
      </w:r>
    </w:p>
    <w:p>
      <w:pPr>
        <w:pStyle w:val="Heading1"/>
      </w:pPr>
      <w:r>
        <w:t>Instructions</w:t>
      </w:r>
    </w:p>
    <w:p>
      <w:pPr>
        <w:pStyle w:val="ListBullet"/>
      </w:pPr>
      <w:r>
        <w:t>Create a controlled project copy before entering institutional information.</w:t>
      </w:r>
    </w:p>
    <w:p>
      <w:pPr>
        <w:pStyle w:val="ListBullet"/>
      </w:pPr>
      <w:r>
        <w:t>Complete the record with the people who own the decision, evidence, workflow, budget, safeguards, and follow-up actions.</w:t>
      </w:r>
    </w:p>
    <w:p>
      <w:pPr>
        <w:pStyle w:val="ListBullet"/>
      </w:pPr>
      <w:r>
        <w:t>Distinguish documented evidence from assumptions, unresolved questions, and planned evidence collection.</w:t>
      </w:r>
    </w:p>
    <w:p>
      <w:pPr>
        <w:pStyle w:val="ListBullet"/>
      </w:pPr>
      <w:r>
        <w:t>Record the system and version, intended use, population, setting, comparator, evidence cut-off, accountable owner, decision conditions, review triggers, and exit or renewal criteria.</w:t>
      </w:r>
    </w:p>
    <w:p>
      <w:pPr>
        <w:pStyle w:val="ListBullet"/>
      </w:pPr>
      <w:r>
        <w:t>Do not enter identifiable patient information, credentials, private keys, or confidential contract details into uncontrolled copies.</w:t>
      </w:r>
    </w:p>
    <w:p>
      <w:pPr>
        <w:pStyle w:val="Heading1"/>
      </w:pPr>
      <w:r>
        <w:t>Status and limitations</w:t>
      </w:r>
    </w:p>
    <w:p>
      <w:r>
        <w:t>This resource is a structured decision-support and documentation aid. It is not a validated clinical instrument, legal opinion, regulatory approval, accreditation decision, cybersecurity certification, procurement authorization, or health technology assessment. Adapt it to the applicable jurisdiction, institution, population, workflow, evidence base, and accountable authority.</w:t>
      </w:r>
    </w:p>
    <w:p>
      <w:pPr>
        <w:pStyle w:val="Heading1"/>
      </w:pPr>
      <w:r>
        <w:t>Blank institutional template</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7A2334"/>
          </w:tcPr>
          <w:p>
            <w:r>
              <w:rPr>
                <w:b/>
                <w:color w:val="FFFFFF"/>
                <w:sz w:val="18"/>
              </w:rPr>
              <w:t>Decision structure</w:t>
            </w:r>
          </w:p>
        </w:tc>
        <w:tc>
          <w:tcPr>
            <w:tcW w:type="dxa" w:w="2520"/>
            <w:shd w:fill="7A2334"/>
          </w:tcPr>
          <w:p>
            <w:r>
              <w:rPr>
                <w:b/>
                <w:color w:val="FFFFFF"/>
                <w:sz w:val="18"/>
              </w:rPr>
              <w:t>Candidate approach</w:t>
            </w:r>
          </w:p>
        </w:tc>
        <w:tc>
          <w:tcPr>
            <w:tcW w:type="dxa" w:w="2520"/>
            <w:shd w:fill="7A2334"/>
          </w:tcPr>
          <w:p>
            <w:r>
              <w:rPr>
                <w:b/>
                <w:color w:val="FFFFFF"/>
                <w:sz w:val="18"/>
              </w:rPr>
              <w:t>Critical evidence</w:t>
            </w:r>
          </w:p>
        </w:tc>
        <w:tc>
          <w:tcPr>
            <w:tcW w:type="dxa" w:w="2520"/>
            <w:shd w:fill="7A2334"/>
          </w:tcPr>
          <w:p>
            <w:r>
              <w:rPr>
                <w:b/>
                <w:color w:val="FFFFFF"/>
                <w:sz w:val="18"/>
              </w:rPr>
              <w:t>Verification and uncertainty record</w:t>
            </w:r>
          </w:p>
        </w:tc>
      </w:tr>
      <w:tr>
        <w:tc>
          <w:tcPr>
            <w:tcW w:type="dxa" w:w="2520"/>
            <w:vAlign w:val="top"/>
            <w:shd w:fill="F2E8EB"/>
          </w:tcPr>
          <w:p>
            <w:r>
              <w:rPr>
                <w:sz w:val="17"/>
              </w:rPr>
              <w:t>Short, non-recurring pathway</w:t>
            </w:r>
          </w:p>
        </w:tc>
        <w:tc>
          <w:tcPr>
            <w:tcW w:type="dxa" w:w="2520"/>
            <w:vAlign w:val="top"/>
          </w:tcPr>
          <w:p>
            <w:r>
              <w:rPr>
                <w:sz w:val="17"/>
              </w:rPr>
              <w:t>Decision tree</w:t>
            </w:r>
          </w:p>
        </w:tc>
        <w:tc>
          <w:tcPr>
            <w:tcW w:type="dxa" w:w="2520"/>
            <w:vAlign w:val="top"/>
          </w:tcPr>
          <w:p>
            <w:r>
              <w:rPr>
                <w:sz w:val="17"/>
              </w:rPr>
              <w:t>Branch probabilities, costs, outcomes, and threshold consequences</w:t>
            </w:r>
          </w:p>
        </w:tc>
        <w:tc>
          <w:tcPr>
            <w:tcW w:type="dxa" w:w="2520"/>
            <w:vAlign w:val="top"/>
          </w:tcPr>
          <w:p>
            <w:r>
              <w:rPr>
                <w:sz w:val="17"/>
              </w:rPr>
              <w:t>Logic checks, extreme values, scenario and probabilistic analysis</w:t>
            </w:r>
          </w:p>
        </w:tc>
      </w:tr>
      <w:tr>
        <w:tc>
          <w:tcPr>
            <w:tcW w:type="dxa" w:w="2520"/>
            <w:vAlign w:val="top"/>
            <w:shd w:fill="F2E8EB"/>
          </w:tcPr>
          <w:p>
            <w:r>
              <w:rPr>
                <w:sz w:val="17"/>
              </w:rPr>
              <w:t>Recurring health states</w:t>
            </w:r>
          </w:p>
        </w:tc>
        <w:tc>
          <w:tcPr>
            <w:tcW w:type="dxa" w:w="2520"/>
            <w:vAlign w:val="top"/>
          </w:tcPr>
          <w:p>
            <w:r>
              <w:rPr>
                <w:sz w:val="17"/>
              </w:rPr>
              <w:t>Cohort state-transition model</w:t>
            </w:r>
          </w:p>
        </w:tc>
        <w:tc>
          <w:tcPr>
            <w:tcW w:type="dxa" w:w="2520"/>
            <w:vAlign w:val="top"/>
          </w:tcPr>
          <w:p>
            <w:r>
              <w:rPr>
                <w:sz w:val="17"/>
              </w:rPr>
              <w:t>Transition probabilities, time dependence, utilities, costs, and competing events</w:t>
            </w:r>
          </w:p>
        </w:tc>
        <w:tc>
          <w:tcPr>
            <w:tcW w:type="dxa" w:w="2520"/>
            <w:vAlign w:val="top"/>
          </w:tcPr>
          <w:p>
            <w:r>
              <w:rPr>
                <w:sz w:val="17"/>
              </w:rPr>
              <w:t>Trace validation, cycle and horizon tests, structural alternatives</w:t>
            </w:r>
          </w:p>
        </w:tc>
      </w:tr>
      <w:tr>
        <w:tc>
          <w:tcPr>
            <w:tcW w:type="dxa" w:w="2520"/>
            <w:vAlign w:val="top"/>
            <w:shd w:fill="F2E8EB"/>
          </w:tcPr>
          <w:p>
            <w:r>
              <w:rPr>
                <w:sz w:val="17"/>
              </w:rPr>
              <w:t>Individual heterogeneity and history</w:t>
            </w:r>
          </w:p>
        </w:tc>
        <w:tc>
          <w:tcPr>
            <w:tcW w:type="dxa" w:w="2520"/>
            <w:vAlign w:val="top"/>
          </w:tcPr>
          <w:p>
            <w:r>
              <w:rPr>
                <w:sz w:val="17"/>
              </w:rPr>
              <w:t>Microsimulation</w:t>
            </w:r>
          </w:p>
        </w:tc>
        <w:tc>
          <w:tcPr>
            <w:tcW w:type="dxa" w:w="2520"/>
            <w:vAlign w:val="top"/>
          </w:tcPr>
          <w:p>
            <w:r>
              <w:rPr>
                <w:sz w:val="17"/>
              </w:rPr>
              <w:t>Patient-level distributions, correlations, event history, and treatment effects</w:t>
            </w:r>
          </w:p>
        </w:tc>
        <w:tc>
          <w:tcPr>
            <w:tcW w:type="dxa" w:w="2520"/>
            <w:vAlign w:val="top"/>
          </w:tcPr>
          <w:p>
            <w:r>
              <w:rPr>
                <w:sz w:val="17"/>
              </w:rPr>
              <w:t>Random seeds, convergence, internal and external validation</w:t>
            </w:r>
          </w:p>
        </w:tc>
      </w:tr>
      <w:tr>
        <w:tc>
          <w:tcPr>
            <w:tcW w:type="dxa" w:w="2520"/>
            <w:vAlign w:val="top"/>
            <w:shd w:fill="F2E8EB"/>
          </w:tcPr>
          <w:p>
            <w:r>
              <w:rPr>
                <w:sz w:val="17"/>
              </w:rPr>
              <w:t>Queues, resources, and event timing</w:t>
            </w:r>
          </w:p>
        </w:tc>
        <w:tc>
          <w:tcPr>
            <w:tcW w:type="dxa" w:w="2520"/>
            <w:vAlign w:val="top"/>
          </w:tcPr>
          <w:p>
            <w:r>
              <w:rPr>
                <w:sz w:val="17"/>
              </w:rPr>
              <w:t>Discrete-event simulation</w:t>
            </w:r>
          </w:p>
        </w:tc>
        <w:tc>
          <w:tcPr>
            <w:tcW w:type="dxa" w:w="2520"/>
            <w:vAlign w:val="top"/>
          </w:tcPr>
          <w:p>
            <w:r>
              <w:rPr>
                <w:sz w:val="17"/>
              </w:rPr>
              <w:t>Arrival, service, routing, capacity, priority, and downtime distributions</w:t>
            </w:r>
          </w:p>
        </w:tc>
        <w:tc>
          <w:tcPr>
            <w:tcW w:type="dxa" w:w="2520"/>
            <w:vAlign w:val="top"/>
          </w:tcPr>
          <w:p>
            <w:r>
              <w:rPr>
                <w:sz w:val="17"/>
              </w:rPr>
              <w:t>Event-trace review, warm-up and run length, replications, stress tests</w:t>
            </w:r>
          </w:p>
        </w:tc>
      </w:tr>
      <w:tr>
        <w:tc>
          <w:tcPr>
            <w:tcW w:type="dxa" w:w="2520"/>
            <w:vAlign w:val="top"/>
            <w:shd w:fill="F2E8EB"/>
          </w:tcPr>
          <w:p>
            <w:r>
              <w:rPr>
                <w:sz w:val="17"/>
              </w:rPr>
              <w:t>Interacting actors or policy feedback</w:t>
            </w:r>
          </w:p>
        </w:tc>
        <w:tc>
          <w:tcPr>
            <w:tcW w:type="dxa" w:w="2520"/>
            <w:vAlign w:val="top"/>
          </w:tcPr>
          <w:p>
            <w:r>
              <w:rPr>
                <w:sz w:val="17"/>
              </w:rPr>
              <w:t>Agent-based, system-dynamics, or hybrid model</w:t>
            </w:r>
          </w:p>
        </w:tc>
        <w:tc>
          <w:tcPr>
            <w:tcW w:type="dxa" w:w="2520"/>
            <w:vAlign w:val="top"/>
          </w:tcPr>
          <w:p>
            <w:r>
              <w:rPr>
                <w:sz w:val="17"/>
              </w:rPr>
              <w:t>Behavior rules, networks, stocks, flows, delays, and feedback</w:t>
            </w:r>
          </w:p>
        </w:tc>
        <w:tc>
          <w:tcPr>
            <w:tcW w:type="dxa" w:w="2520"/>
            <w:vAlign w:val="top"/>
          </w:tcPr>
          <w:p>
            <w:r>
              <w:rPr>
                <w:sz w:val="17"/>
              </w:rPr>
              <w:t>Pattern validation, sensitivity to rules, alternative structures</w:t>
            </w:r>
          </w:p>
        </w:tc>
      </w:tr>
      <w:tr>
        <w:tc>
          <w:tcPr>
            <w:tcW w:type="dxa" w:w="2520"/>
            <w:vAlign w:val="top"/>
            <w:shd w:fill="F2E8EB"/>
          </w:tcPr>
          <w:p>
            <w:r>
              <w:rPr>
                <w:sz w:val="17"/>
              </w:rPr>
              <w:t>All consequential models</w:t>
            </w:r>
          </w:p>
        </w:tc>
        <w:tc>
          <w:tcPr>
            <w:tcW w:type="dxa" w:w="2520"/>
            <w:vAlign w:val="top"/>
          </w:tcPr>
          <w:p>
            <w:r>
              <w:rPr>
                <w:sz w:val="17"/>
              </w:rPr>
              <w:t>Proportionate reproducible workflow</w:t>
            </w:r>
          </w:p>
        </w:tc>
        <w:tc>
          <w:tcPr>
            <w:tcW w:type="dxa" w:w="2520"/>
            <w:vAlign w:val="top"/>
          </w:tcPr>
          <w:p>
            <w:r>
              <w:rPr>
                <w:sz w:val="17"/>
              </w:rPr>
              <w:t>Data provenance, code, parameters, evidence, environment, versions, approvals, and archive</w:t>
            </w:r>
          </w:p>
        </w:tc>
        <w:tc>
          <w:tcPr>
            <w:tcW w:type="dxa" w:w="2520"/>
            <w:vAlign w:val="top"/>
          </w:tcPr>
          <w:p>
            <w:r>
              <w:rPr>
                <w:sz w:val="17"/>
              </w:rPr>
              <w:t>Independent review, test suite, change log, decision traceability</w:t>
            </w:r>
          </w:p>
        </w:tc>
      </w:tr>
    </w:tbl>
    <w:p>
      <w:r>
        <w:br w:type="page"/>
      </w:r>
    </w:p>
    <w:p>
      <w:pPr>
        <w:pStyle w:val="Heading1"/>
      </w:pPr>
      <w:r>
        <w:t>Worked synthetic example</w:t>
      </w:r>
    </w:p>
    <w:p>
      <w:r>
        <w:t>This example demonstrates completion logic only. It is not an empirical finding and should not be reused as institutional evidence.</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520"/>
            <w:shd w:fill="52565A"/>
          </w:tcPr>
          <w:p>
            <w:r>
              <w:rPr>
                <w:b/>
                <w:color w:val="FFFFFF"/>
                <w:sz w:val="18"/>
              </w:rPr>
              <w:t>Decision structure</w:t>
            </w:r>
          </w:p>
        </w:tc>
        <w:tc>
          <w:tcPr>
            <w:tcW w:type="dxa" w:w="2520"/>
            <w:shd w:fill="52565A"/>
          </w:tcPr>
          <w:p>
            <w:r>
              <w:rPr>
                <w:b/>
                <w:color w:val="FFFFFF"/>
                <w:sz w:val="18"/>
              </w:rPr>
              <w:t>Candidate approach</w:t>
            </w:r>
          </w:p>
        </w:tc>
        <w:tc>
          <w:tcPr>
            <w:tcW w:type="dxa" w:w="2520"/>
            <w:shd w:fill="52565A"/>
          </w:tcPr>
          <w:p>
            <w:r>
              <w:rPr>
                <w:b/>
                <w:color w:val="FFFFFF"/>
                <w:sz w:val="18"/>
              </w:rPr>
              <w:t>Critical evidence</w:t>
            </w:r>
          </w:p>
        </w:tc>
        <w:tc>
          <w:tcPr>
            <w:tcW w:type="dxa" w:w="2520"/>
            <w:shd w:fill="52565A"/>
          </w:tcPr>
          <w:p>
            <w:r>
              <w:rPr>
                <w:b/>
                <w:color w:val="FFFFFF"/>
                <w:sz w:val="18"/>
              </w:rPr>
              <w:t>Verification and uncertainty record</w:t>
            </w:r>
          </w:p>
        </w:tc>
      </w:tr>
      <w:tr>
        <w:tc>
          <w:tcPr>
            <w:tcW w:type="dxa" w:w="2520"/>
            <w:vAlign w:val="top"/>
            <w:shd w:fill="EFEFEF"/>
          </w:tcPr>
          <w:p>
            <w:r>
              <w:rPr>
                <w:sz w:val="17"/>
              </w:rPr>
              <w:t>Short, non-recurring pathway</w:t>
            </w:r>
          </w:p>
        </w:tc>
        <w:tc>
          <w:tcPr>
            <w:tcW w:type="dxa" w:w="2520"/>
            <w:vAlign w:val="top"/>
          </w:tcPr>
          <w:p>
            <w:r>
              <w:rPr>
                <w:sz w:val="17"/>
              </w:rPr>
              <w:t>Decision tree</w:t>
            </w:r>
          </w:p>
        </w:tc>
        <w:tc>
          <w:tcPr>
            <w:tcW w:type="dxa" w:w="2520"/>
            <w:vAlign w:val="top"/>
          </w:tcPr>
          <w:p>
            <w:r>
              <w:rPr>
                <w:sz w:val="17"/>
              </w:rPr>
              <w:t>Branch probabilities, costs, outcomes, and threshold consequences</w:t>
            </w:r>
          </w:p>
        </w:tc>
        <w:tc>
          <w:tcPr>
            <w:tcW w:type="dxa" w:w="2520"/>
            <w:vAlign w:val="top"/>
          </w:tcPr>
          <w:p>
            <w:r>
              <w:rPr>
                <w:sz w:val="17"/>
              </w:rPr>
              <w:t>Logic checks, extreme values, scenario and probabilistic analysis</w:t>
            </w:r>
          </w:p>
        </w:tc>
      </w:tr>
      <w:tr>
        <w:tc>
          <w:tcPr>
            <w:tcW w:type="dxa" w:w="2520"/>
            <w:vAlign w:val="top"/>
            <w:shd w:fill="EFEFEF"/>
          </w:tcPr>
          <w:p>
            <w:r>
              <w:rPr>
                <w:sz w:val="17"/>
              </w:rPr>
              <w:t>Recurring health states</w:t>
            </w:r>
          </w:p>
        </w:tc>
        <w:tc>
          <w:tcPr>
            <w:tcW w:type="dxa" w:w="2520"/>
            <w:vAlign w:val="top"/>
          </w:tcPr>
          <w:p>
            <w:r>
              <w:rPr>
                <w:sz w:val="17"/>
              </w:rPr>
              <w:t>Cohort state-transition model</w:t>
            </w:r>
          </w:p>
        </w:tc>
        <w:tc>
          <w:tcPr>
            <w:tcW w:type="dxa" w:w="2520"/>
            <w:vAlign w:val="top"/>
          </w:tcPr>
          <w:p>
            <w:r>
              <w:rPr>
                <w:sz w:val="17"/>
              </w:rPr>
              <w:t>Transition probabilities, time dependence, utilities, costs, and competing events</w:t>
            </w:r>
          </w:p>
        </w:tc>
        <w:tc>
          <w:tcPr>
            <w:tcW w:type="dxa" w:w="2520"/>
            <w:vAlign w:val="top"/>
          </w:tcPr>
          <w:p>
            <w:r>
              <w:rPr>
                <w:sz w:val="17"/>
              </w:rPr>
              <w:t>Trace validation, cycle and horizon tests, structural alternatives</w:t>
            </w:r>
          </w:p>
        </w:tc>
      </w:tr>
      <w:tr>
        <w:tc>
          <w:tcPr>
            <w:tcW w:type="dxa" w:w="2520"/>
            <w:vAlign w:val="top"/>
            <w:shd w:fill="EFEFEF"/>
          </w:tcPr>
          <w:p>
            <w:r>
              <w:rPr>
                <w:sz w:val="17"/>
              </w:rPr>
              <w:t>Individual heterogeneity and history</w:t>
            </w:r>
          </w:p>
        </w:tc>
        <w:tc>
          <w:tcPr>
            <w:tcW w:type="dxa" w:w="2520"/>
            <w:vAlign w:val="top"/>
          </w:tcPr>
          <w:p>
            <w:r>
              <w:rPr>
                <w:sz w:val="17"/>
              </w:rPr>
              <w:t>Microsimulation</w:t>
            </w:r>
          </w:p>
        </w:tc>
        <w:tc>
          <w:tcPr>
            <w:tcW w:type="dxa" w:w="2520"/>
            <w:vAlign w:val="top"/>
          </w:tcPr>
          <w:p>
            <w:r>
              <w:rPr>
                <w:sz w:val="17"/>
              </w:rPr>
              <w:t>Patient-level distributions, correlations, event history, and treatment effects</w:t>
            </w:r>
          </w:p>
        </w:tc>
        <w:tc>
          <w:tcPr>
            <w:tcW w:type="dxa" w:w="2520"/>
            <w:vAlign w:val="top"/>
          </w:tcPr>
          <w:p>
            <w:r>
              <w:rPr>
                <w:sz w:val="17"/>
              </w:rPr>
              <w:t>Random seeds, convergence, internal and external validation</w:t>
            </w:r>
          </w:p>
        </w:tc>
      </w:tr>
      <w:tr>
        <w:tc>
          <w:tcPr>
            <w:tcW w:type="dxa" w:w="2520"/>
            <w:vAlign w:val="top"/>
            <w:shd w:fill="EFEFEF"/>
          </w:tcPr>
          <w:p>
            <w:r>
              <w:rPr>
                <w:sz w:val="17"/>
              </w:rPr>
              <w:t>Queues, resources, and event timing</w:t>
            </w:r>
          </w:p>
        </w:tc>
        <w:tc>
          <w:tcPr>
            <w:tcW w:type="dxa" w:w="2520"/>
            <w:vAlign w:val="top"/>
          </w:tcPr>
          <w:p>
            <w:r>
              <w:rPr>
                <w:sz w:val="17"/>
              </w:rPr>
              <w:t>Discrete-event simulation</w:t>
            </w:r>
          </w:p>
        </w:tc>
        <w:tc>
          <w:tcPr>
            <w:tcW w:type="dxa" w:w="2520"/>
            <w:vAlign w:val="top"/>
          </w:tcPr>
          <w:p>
            <w:r>
              <w:rPr>
                <w:sz w:val="17"/>
              </w:rPr>
              <w:t>Arrival, service, routing, capacity, priority, and downtime distributions</w:t>
            </w:r>
          </w:p>
        </w:tc>
        <w:tc>
          <w:tcPr>
            <w:tcW w:type="dxa" w:w="2520"/>
            <w:vAlign w:val="top"/>
          </w:tcPr>
          <w:p>
            <w:r>
              <w:rPr>
                <w:sz w:val="17"/>
              </w:rPr>
              <w:t>Event-trace review, warm-up and run length, replications, stress tests</w:t>
            </w:r>
          </w:p>
        </w:tc>
      </w:tr>
      <w:tr>
        <w:tc>
          <w:tcPr>
            <w:tcW w:type="dxa" w:w="2520"/>
            <w:vAlign w:val="top"/>
            <w:shd w:fill="EFEFEF"/>
          </w:tcPr>
          <w:p>
            <w:r>
              <w:rPr>
                <w:sz w:val="17"/>
              </w:rPr>
              <w:t>Interacting actors or policy feedback</w:t>
            </w:r>
          </w:p>
        </w:tc>
        <w:tc>
          <w:tcPr>
            <w:tcW w:type="dxa" w:w="2520"/>
            <w:vAlign w:val="top"/>
          </w:tcPr>
          <w:p>
            <w:r>
              <w:rPr>
                <w:sz w:val="17"/>
              </w:rPr>
              <w:t>Agent-based, system-dynamics, or hybrid model</w:t>
            </w:r>
          </w:p>
        </w:tc>
        <w:tc>
          <w:tcPr>
            <w:tcW w:type="dxa" w:w="2520"/>
            <w:vAlign w:val="top"/>
          </w:tcPr>
          <w:p>
            <w:r>
              <w:rPr>
                <w:sz w:val="17"/>
              </w:rPr>
              <w:t>Behavior rules, networks, stocks, flows, delays, and feedback</w:t>
            </w:r>
          </w:p>
        </w:tc>
        <w:tc>
          <w:tcPr>
            <w:tcW w:type="dxa" w:w="2520"/>
            <w:vAlign w:val="top"/>
          </w:tcPr>
          <w:p>
            <w:r>
              <w:rPr>
                <w:sz w:val="17"/>
              </w:rPr>
              <w:t>Pattern validation, sensitivity to rules, alternative structures</w:t>
            </w:r>
          </w:p>
        </w:tc>
      </w:tr>
      <w:tr>
        <w:tc>
          <w:tcPr>
            <w:tcW w:type="dxa" w:w="2520"/>
            <w:vAlign w:val="top"/>
            <w:shd w:fill="EFEFEF"/>
          </w:tcPr>
          <w:p>
            <w:r>
              <w:rPr>
                <w:sz w:val="17"/>
              </w:rPr>
              <w:t>All consequential models</w:t>
            </w:r>
          </w:p>
        </w:tc>
        <w:tc>
          <w:tcPr>
            <w:tcW w:type="dxa" w:w="2520"/>
            <w:vAlign w:val="top"/>
          </w:tcPr>
          <w:p>
            <w:r>
              <w:rPr>
                <w:sz w:val="17"/>
              </w:rPr>
              <w:t>Proportionate reproducible workflow</w:t>
            </w:r>
          </w:p>
        </w:tc>
        <w:tc>
          <w:tcPr>
            <w:tcW w:type="dxa" w:w="2520"/>
            <w:vAlign w:val="top"/>
          </w:tcPr>
          <w:p>
            <w:r>
              <w:rPr>
                <w:sz w:val="17"/>
              </w:rPr>
              <w:t>Data provenance, code, parameters, evidence, environment, versions, approvals, and archive</w:t>
            </w:r>
          </w:p>
        </w:tc>
        <w:tc>
          <w:tcPr>
            <w:tcW w:type="dxa" w:w="2520"/>
            <w:vAlign w:val="top"/>
          </w:tcPr>
          <w:p>
            <w:r>
              <w:rPr>
                <w:sz w:val="17"/>
              </w:rPr>
              <w:t>Independent review, test suite, change log, decision traceability</w:t>
            </w:r>
          </w:p>
        </w:tc>
      </w:tr>
    </w:tbl>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AIHE-B05 | V1.0 | Create a governed copy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AIHE-B05 template and worked example</dc:title>
  <dc:creator/>
  <ns0:lastModifiedBy/>
  <ns2:created xsi:type="dcterms:W3CDTF">2026-08-06T00:00:00Z</ns2:created>
  <ns2:modified xsi:type="dcterms:W3CDTF">2026-08-06T00:00:00Z</ns2:modified>
</ns0:coreProperties>
</file>