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9"/>
        </w:rPr>
        <w:t>AIHE-AF — Evidence, Reporting, and Assurance Crosswalk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er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10: Governance, Accountability, and Institutional Risk; Chapter 12: Decision Architecture and Lifecycle Governance; Chapter 11: Evidence, Validation, and Real-World Evaluation; Chapter 11: Evidence, Validation, and Real-World Evaluation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Match evidence and assurance needs to reporting standards, appraisal tools, lifecycle guidance, and management systems.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Use standards and external assurance as complementary evidence architecture. Reporting completeness does not guarantee quality, and external assurance does not replace local responsibility.</w:t>
      </w:r>
    </w:p>
    <w:p>
      <w:pPr>
        <w:pStyle w:val="Heading1"/>
        <w:keepNext/>
      </w:pPr>
      <w:r>
        <w:t>Evidence, reporting, and assurance crosswalk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or assurance need</w:t>
            </w:r>
          </w:p>
        </w:tc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Standard or framework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33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Institutional use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 / review action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 model development and validation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TRIPOD+AI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Transparent reporting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Appraise development, validation, intended use, and applicability.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current version.</w:t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Prediction-model risk of bias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PROBAST+AI</w:t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Risk of bias and applicability</w:t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trustworthiness of prediction evidence.</w:t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current version.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Diagnostic accuracy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STARD-AI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Diagnostic AI reporting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index test, reference standard, datasets, fairness, and applicability.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current version.</w:t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Early live evaluation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DECIDE-AI</w:t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Early clinical evaluation</w:t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workflow, human–AI interaction, safety, and feasibility.</w:t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in pilot protocol.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protocol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SPIRIT-AI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Protocol reporting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planned AI intervention, training, input/output handling, and errors.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before trial.</w:t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report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CONSORT-AI</w:t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Trial results</w:t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comparative effect and intervention transparency.</w:t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for trial appraisal.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evaluation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CHEERS 2022 and CHEERS-AI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Economic reporting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costs, outcomes, implementation, updating, uncertainty, and distribution.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in economic dossier.</w:t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Systematic review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PRISMA 2020</w:t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Review reporting</w:t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search, selection, appraisal, synthesis, and flow.</w:t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in evidence synthesis.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Trustworthy lifecycle deployment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FUTURE-AI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Lifecycle guidance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Connect evidence, deployment, monitoring, and change.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 to local controls.</w:t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external assurance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FAIR-AI</w:t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Pre- and post-implementation assurance</w:t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as comparator for one continuing assurance process.</w:t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scope and version.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management system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ISO/IEC 42001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Management system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Connect policy, roles, controls, audit, and improvement.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 to institutional system.</w:t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impact assessment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ISO/IEC 42005</w:t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Impact assessment</w:t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Document effects, risk, mitigation, and review.</w:t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current edition.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Risk management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NIST AI RMF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Govern, map, measure, and manage risk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Structure risk and lifecycle review.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 to local risk taxonomy.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Continuing-assurance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evidence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Responsible forum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output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procurement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Intended use, comparator, evidence, data fitness, risk, economics, workflow, assurance plan.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Procurement and AI governance.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Reject, request evidence, or proceed to gate.</w:t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live pilot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validation, human factors, security, training, incident and monitoring readiness.</w:t>
            </w:r>
          </w:p>
        </w:tc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and governance.</w:t>
            </w:r>
          </w:p>
        </w:tc>
        <w:tc>
          <w:tcPr>
            <w:tcW w:type="dxa" w:w="230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Pilot approval with conditions.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After deployment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Performance, incidents, subgroups, workload, value, changes, vendor obligations.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Algorithmovigilance review.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Continue, adapt, restrict, pause, or retire.</w:t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Accumulated evidence, realized value, residual risk, alternatives, exit readiness.</w:t>
            </w:r>
          </w:p>
        </w:tc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Executive and governance.</w:t>
            </w:r>
          </w:p>
        </w:tc>
        <w:tc>
          <w:tcPr>
            <w:tcW w:type="dxa" w:w="230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Renew, renegotiate, replace, or retire.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AI and Healthcare Economics Companion Resource | Version 6.0.0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AIHE-AF worked example</dc:title>
  <dc:creator/>
  <ns0:lastModifiedBy/>
  <ns2:created xsi:type="dcterms:W3CDTF">2026-08-06T00:00:00Z</ns2:created>
  <ns2:modified xsi:type="dcterms:W3CDTF">2026-08-06T00:00:00Z</ns2:modified>
</ns0:coreProperties>
</file>