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color w:val="1F4E79"/>
        </w:rPr>
        <w:t>AIHE-EX16 — Reproducible Analysis, Model Risk, and Code Quality Checklist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er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12: Decision Architecture and Lifecycle Governance; Chapter 8: Decision Modelling and Simulation Under Uncertainty; Chapter 11: Evidence, Validation, and Real-World Evaluation; Computational instruments in the Digital Resource Companion; principally Chapters 8, 11, and 12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Verify data provenance, environments, versioning, testing, validation, uncertainty, security, release, and archive controls.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Use this checklist before an analysis, spreadsheet, model, dashboard, or code package is relied upon for a material decision or public release.</w:t>
      </w:r>
    </w:p>
    <w:p>
      <w:pPr>
        <w:pStyle w:val="Heading1"/>
        <w:keepNext/>
      </w:pPr>
      <w:r>
        <w:t>Reproducibility and model-risk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180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381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requirement</w:t>
            </w:r>
          </w:p>
        </w:tc>
        <w:tc>
          <w:tcPr>
            <w:tcW w:type="dxa" w:w="10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result</w:t>
            </w:r>
          </w:p>
        </w:tc>
        <w:tc>
          <w:tcPr>
            <w:tcW w:type="dxa" w:w="230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and action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specification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provenance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Environment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Version control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Code review and testing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Randomness and convergence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Verification and validation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Uncertainty and sensitivity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 and security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Output traceability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Release and archive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Release decision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302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777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Release class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Open conditions</w:t>
            </w:r>
          </w:p>
        </w:tc>
        <w:tc>
          <w:tcPr>
            <w:tcW w:type="dxa" w:w="77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Approval authority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Archive location</w:t>
            </w:r>
          </w:p>
        </w:tc>
        <w:tc>
          <w:tcPr>
            <w:tcW w:type="dxa" w:w="77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AI and Healthcare Economics Companion Resource | Version 6.0.0</w:t>
    </w:r>
    <w:r>
      <w:rPr>
        <w:rFonts w:ascii="Arial" w:hAnsi="Arial"/>
        <w:color w:val="666666"/>
        <w:sz w:val="16"/>
      </w:rPr>
      <w:t>AI and Healthcare Economics Companion Resource | Version 6.0.0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AIHE-EX16 fillable template</dc:title>
  <dc:creator/>
  <ns0:lastModifiedBy/>
  <ns2:created xsi:type="dcterms:W3CDTF">2026-08-06T00:00:00Z</ns2:created>
  <ns2:modified xsi:type="dcterms:W3CDTF">2026-08-06T00:00:00Z</ns2:modified>
</ns0:coreProperties>
</file>