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" w:hAnsi="Arial"/>
          <w:color w:val="1F4E79"/>
        </w:rPr>
        <w:t>AIHE-EX16 — Reproducible Analysis, Model Risk, and Code Quality Checklist</w:t>
      </w:r>
    </w:p>
    <w:p>
      <w:r>
        <w:rPr>
          <w:rFonts w:ascii="Arial" w:hAnsi="Arial"/>
          <w:color w:val="595959"/>
          <w:sz w:val="17"/>
        </w:rPr>
        <w:t>Current digital location: Resource Set B — Economic Evaluation, Evidence, and Decision Modeling. Stable resource ID retained for continuity across companion editions.</w:t>
      </w:r>
    </w:p>
    <w:p>
      <w:pPr>
        <w:jc w:val="center"/>
      </w:pPr>
      <w:r>
        <w:rPr>
          <w:b/>
          <w:color w:val="2F5597"/>
        </w:rPr>
        <w:t>Blank institutional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Current digital location</w:t>
            </w:r>
          </w:p>
        </w:tc>
        <w:tc>
          <w:tcPr>
            <w:tcW w:type="dxa" w:w="5256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Resource Set B — Economic Evaluation, Evidence, and Decision Modeling</w:t>
            </w:r>
          </w:p>
        </w:tc>
      </w:tr>
      <w:tr>
        <w:tc>
          <w:tcPr>
            <w:tcW w:type="dxa" w:w="52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Related book chapters</w:t>
            </w:r>
          </w:p>
        </w:tc>
        <w:tc>
          <w:tcPr>
            <w:tcW w:type="dxa" w:w="5256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Chapter 12: Decision Architecture and Lifecycle Governance; Chapter 8: Decision Modelling and Simulation Under Uncertainty; Chapter 11: Evidence, Validation, and Real-World Evaluation; Computational instruments in the Digital Resource Companion; principally Chapters 8, 11, and 12</w:t>
            </w:r>
          </w:p>
        </w:tc>
      </w:tr>
      <w:tr>
        <w:tc>
          <w:tcPr>
            <w:tcW w:type="dxa" w:w="52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Workflow step</w:t>
            </w:r>
          </w:p>
        </w:tc>
        <w:tc>
          <w:tcPr>
            <w:tcW w:type="dxa" w:w="5256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03: 03_Evidence_Validation</w:t>
            </w:r>
          </w:p>
        </w:tc>
      </w:tr>
      <w:tr>
        <w:tc>
          <w:tcPr>
            <w:tcW w:type="dxa" w:w="52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5256"/>
            <w:vAlign w:val="center"/>
          </w:tcPr>
          <w:p>
            <w:pPr>
              <w:jc w:val="left"/>
            </w:pPr>
            <w:r>
              <w:t>6.0.0 | aligned to the fifteen-chapter reference edition and Resource Sets A–E</w:t>
            </w:r>
          </w:p>
        </w:tc>
      </w:tr>
    </w:tbl>
    <w:p>
      <w:r>
        <w:rPr>
          <w:b/>
        </w:rPr>
        <w:t xml:space="preserve">Purpose. </w:t>
      </w:r>
      <w:r>
        <w:t>Verify data provenance, environments, versioning, testing, validation, uncertainty, security, release, and archive controls.</w:t>
      </w:r>
    </w:p>
    <w:p>
      <w:r>
        <w:rPr>
          <w:b/>
        </w:rPr>
        <w:t xml:space="preserve">Use note. </w:t>
      </w:r>
      <w:r>
        <w:t>Use the resource as a versioned institutional record. Adapt it to local law, policy, clinical practice, information security, procurement, and health-technology-assessment requirements. Do not enter identifiable patient data or confidential credentials into public copies.</w:t>
      </w:r>
    </w:p>
    <w:p>
      <w:pPr>
        <w:pStyle w:val="Heading1"/>
        <w:keepNext/>
      </w:pPr>
      <w:r>
        <w:t>How to use this resource</w:t>
      </w:r>
    </w:p>
    <w:p>
      <w:r>
        <w:t>Use this checklist before an analysis, spreadsheet, model, dashboard, or code package is relied upon for a material decision or public release.</w:t>
      </w:r>
    </w:p>
    <w:p>
      <w:pPr>
        <w:pStyle w:val="Heading1"/>
        <w:keepNext/>
      </w:pPr>
      <w:r>
        <w:t>Reproducibility and model-risk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rPr>
          <w:tblHeader w:val="true"/>
        </w:trPr>
        <w:tc>
          <w:tcPr>
            <w:tcW w:type="dxa" w:w="180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Domain</w:t>
            </w:r>
          </w:p>
        </w:tc>
        <w:tc>
          <w:tcPr>
            <w:tcW w:type="dxa" w:w="381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Minimum requirement</w:t>
            </w:r>
          </w:p>
        </w:tc>
        <w:tc>
          <w:tcPr>
            <w:tcW w:type="dxa" w:w="108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252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/ result</w:t>
            </w:r>
          </w:p>
        </w:tc>
        <w:tc>
          <w:tcPr>
            <w:tcW w:type="dxa" w:w="2304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Owner and action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specification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Data provenance</w:t>
            </w:r>
          </w:p>
        </w:tc>
        <w:tc>
          <w:tcPr>
            <w:tcW w:type="dxa" w:w="381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52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Environment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Version control</w:t>
            </w:r>
          </w:p>
        </w:tc>
        <w:tc>
          <w:tcPr>
            <w:tcW w:type="dxa" w:w="381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52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Code review and testing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Randomness and convergence</w:t>
            </w:r>
          </w:p>
        </w:tc>
        <w:tc>
          <w:tcPr>
            <w:tcW w:type="dxa" w:w="381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52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Verification and validation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Uncertainty and sensitivity</w:t>
            </w:r>
          </w:p>
        </w:tc>
        <w:tc>
          <w:tcPr>
            <w:tcW w:type="dxa" w:w="381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52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Privacy and security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Output traceability</w:t>
            </w:r>
          </w:p>
        </w:tc>
        <w:tc>
          <w:tcPr>
            <w:tcW w:type="dxa" w:w="381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52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Release and archive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Release decision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rPr>
          <w:tblHeader w:val="true"/>
        </w:trPr>
        <w:tc>
          <w:tcPr>
            <w:tcW w:type="dxa" w:w="3024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777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Record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Release class</w:t>
            </w:r>
          </w:p>
        </w:tc>
        <w:tc>
          <w:tcPr>
            <w:tcW w:type="dxa" w:w="77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4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Open conditions</w:t>
            </w:r>
          </w:p>
        </w:tc>
        <w:tc>
          <w:tcPr>
            <w:tcW w:type="dxa" w:w="777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Approval authority</w:t>
            </w:r>
          </w:p>
        </w:tc>
        <w:tc>
          <w:tcPr>
            <w:tcW w:type="dxa" w:w="77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4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Archive location</w:t>
            </w:r>
          </w:p>
        </w:tc>
        <w:tc>
          <w:tcPr>
            <w:tcW w:type="dxa" w:w="777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Next review</w:t>
            </w:r>
          </w:p>
        </w:tc>
        <w:tc>
          <w:tcPr>
            <w:tcW w:type="dxa" w:w="77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Decision and review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088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4464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Guidance</w:t>
            </w:r>
          </w:p>
        </w:tc>
        <w:tc>
          <w:tcPr>
            <w:tcW w:type="dxa" w:w="34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Record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Recommended status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/ proceed with conditions / redesign / restrict / pause / replace / retire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Mandatory safeguards</w:t>
            </w:r>
          </w:p>
        </w:tc>
        <w:tc>
          <w:tcPr>
            <w:tcW w:type="dxa" w:w="446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Safety, lawful data use, privacy/security, equity, human oversight, monitoring, ability to stop</w:t>
            </w:r>
          </w:p>
        </w:tc>
        <w:tc>
          <w:tcPr>
            <w:tcW w:type="dxa" w:w="345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Material unresolved issues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Record gaps that could change the decision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Conditions, owners, and due dates</w:t>
            </w:r>
          </w:p>
        </w:tc>
        <w:tc>
          <w:tcPr>
            <w:tcW w:type="dxa" w:w="446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Link every condition to an accountable owner and verification date</w:t>
            </w:r>
          </w:p>
        </w:tc>
        <w:tc>
          <w:tcPr>
            <w:tcW w:type="dxa" w:w="345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authority and date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Named committee or executive authority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Next review or trigger event</w:t>
            </w:r>
          </w:p>
        </w:tc>
        <w:tc>
          <w:tcPr>
            <w:tcW w:type="dxa" w:w="446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Date and event-triggered review conditions</w:t>
            </w:r>
          </w:p>
        </w:tc>
        <w:tc>
          <w:tcPr>
            <w:tcW w:type="dxa" w:w="345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66666"/>
        <w:sz w:val="16"/>
      </w:rPr>
      <w:t>AI and Healthcare Economics Companion Resource | Version 6.0.0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AIHE-EX16 template</dc:title>
  <dc:creator/>
  <ns0:lastModifiedBy/>
  <ns2:created xsi:type="dcterms:W3CDTF">2026-08-06T00:00:00Z</ns2:created>
  <ns2:modified xsi:type="dcterms:W3CDTF">2026-08-06T00:00:00Z</ns2:modified>
</ns0:coreProperties>
</file>