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AIHE-EX16 — Reproducible Analysis, Model Risk, and Code Quality Checklist</w:t>
      </w:r>
    </w:p>
    <w:p>
      <w:r>
        <w:rPr>
          <w:rFonts w:ascii="Arial" w:hAnsi="Arial"/>
          <w:color w:val="595959"/>
          <w:sz w:val="17"/>
        </w:rPr>
        <w:t>Current digital location: Resource Set B — Economic Evaluation, Evidence, and Decision Modeling.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B — Economic Evaluation, Evidence, and Decision Modeling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Governance; Chapter 8: Decision Modelling and Simulation Under Uncertainty; Chapter 11: Evidence, Validation, and Real-World Evaluation; Computational instruments in the Digital Resource Companion; principally Chapters 8, 11, and 12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03: 03_Evidence_Validation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Verify data provenance, environments, versioning, testing, validation, uncertainty, security, release, and archive controls.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Use this checklist before an analysis, spreadsheet, model, dashboard, or code package is relied upon for a material decision or public release.</w:t>
      </w:r>
    </w:p>
    <w:p>
      <w:pPr>
        <w:pStyle w:val="Heading1"/>
        <w:keepNext/>
      </w:pPr>
      <w:r>
        <w:t>Reproducibility and model-risk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18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81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requirement</w:t>
            </w:r>
          </w:p>
        </w:tc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5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/ result</w:t>
            </w:r>
          </w:p>
        </w:tc>
        <w:tc>
          <w:tcPr>
            <w:tcW w:type="dxa" w:w="230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specification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Versioned population, comparator, perspective, horizon, outcomes, and decision rule.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Specification v1.3 approved.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Health economist</w:t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provenance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Sources, access, schema, transformations, exclusions, and lineage.</w:t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Lineage complete; one terminology map pending.</w:t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Data steward—close before pilot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Environment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Language, packages, operating environment, dependency lock, and hardware assumptions.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Python 3.11 environment lock archived.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Analytics lead</w:t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Version control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Code, schema, configuration, model, documentation, and outputs have versions.</w:t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Tagged release and immutable output folder.</w:t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Analytics lead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Code review and testing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Independent review, automated tests, edge cases, and failure handling.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Unit tests pass; external review scheduled.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Independent reviewer</w:t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Randomness and convergence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Seeds, replications, warm-up, run length, convergence, and tolerance.</w:t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Seed, 2,000 replications, convergence trace.</w:t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Modeler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Verification and validation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Conceptual model, equations, code, face validity, comparison, and extreme tests.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Review record and extreme-case results.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Model-validation lead</w:t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Uncertainty and sensitivity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Parameter, structural, implementation, and scenario uncertainty.</w:t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PSA and structural scenarios included.</w:t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Health economist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security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Secrets, identifiers, access, logs, third-party code, vulnerabilities, and disclosure.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Synthetic data only; dependency scan complete.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Security lead</w:t>
            </w:r>
          </w:p>
        </w:tc>
      </w:tr>
      <w:tr>
        <w:tc>
          <w:tcPr>
            <w:tcW w:type="dxa" w:w="1800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Output traceability</w:t>
            </w:r>
          </w:p>
        </w:tc>
        <w:tc>
          <w:tcPr>
            <w:tcW w:type="dxa" w:w="381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Outputs regenerate from archived inputs and code.</w:t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</w:t>
            </w:r>
          </w:p>
        </w:tc>
        <w:tc>
          <w:tcPr>
            <w:tcW w:type="dxa" w:w="252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Re-run hash matches release output.</w:t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Analytics lead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and archive</w:t>
            </w:r>
          </w:p>
        </w:tc>
        <w:tc>
          <w:tcPr>
            <w:tcW w:type="dxa" w:w="381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Approver, limits, licenses, archive, continuity, and next review.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Conditional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Release approval pending two actions.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Program owner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Release decision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0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77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Release class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Governed pilot analysis; not for autonomous clinical use.</w:t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Open conditions</w:t>
            </w:r>
          </w:p>
        </w:tc>
        <w:tc>
          <w:tcPr>
            <w:tcW w:type="dxa" w:w="77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Terminology map and independent code review.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Approval authority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Director, Health Analytics and AI Governance Committee.</w:t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Archive location</w:t>
            </w:r>
          </w:p>
        </w:tc>
        <w:tc>
          <w:tcPr>
            <w:tcW w:type="dxa" w:w="777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Controlled repository release 2.0.0.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</w:t>
            </w:r>
          </w:p>
        </w:tc>
        <w:tc>
          <w:tcPr>
            <w:tcW w:type="dxa" w:w="777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Before any data, model, workflow, or intended-use change.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AIHE-EX16 worked example</dc:title>
  <dc:creator/>
  <ns0:lastModifiedBy/>
  <ns2:created xsi:type="dcterms:W3CDTF">2026-08-06T00:00:00Z</ns2:created>
  <ns2:modified xsi:type="dcterms:W3CDTF">2026-08-06T00:00:00Z</ns2:modified>
</ns0:coreProperties>
</file>