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Lifecycle Gates, Staged Implementation, and Dossier Status</w:t>
      </w:r>
    </w:p>
    <w:p>
      <w:pPr>
        <w:jc w:val="center"/>
      </w:pPr>
      <w:r>
        <w:rPr>
          <w:b/>
          <w:color w:val="7A2334"/>
        </w:rPr>
        <w:t>AIHE-D02</w:t>
      </w:r>
    </w:p>
    <w:p>
      <w:pPr>
        <w:spacing w:after="40"/>
      </w:pPr>
      <w:r>
        <w:rPr>
          <w:b/>
        </w:rPr>
        <w:t xml:space="preserve">Primary chapter: </w:t>
      </w:r>
      <w:r>
        <w:t>12 — Decision Architecture and Lifecycle Governance</w:t>
      </w:r>
    </w:p>
    <w:p>
      <w:pPr>
        <w:spacing w:after="40"/>
      </w:pPr>
      <w:r>
        <w:rPr>
          <w:b/>
        </w:rPr>
        <w:t xml:space="preserve">Additional chapter alignment: </w:t>
      </w:r>
      <w:r>
        <w:t>4, 9, 11, 12</w:t>
      </w:r>
    </w:p>
    <w:p>
      <w:pPr>
        <w:spacing w:after="40"/>
      </w:pPr>
      <w:r>
        <w:rPr>
          <w:b/>
        </w:rPr>
        <w:t xml:space="preserve">Legacy aliases: </w:t>
      </w:r>
      <w:r>
        <w:t>AIHE-Q, AIHE-R, AIHE-EX14, AIHE-EX10, AIHE-AE, AIHE-E, AIHE-EX02, AIHE-H, AIHE-K, AIHE-P, AIHE-V</w:t>
      </w:r>
    </w:p>
    <w:p>
      <w:pPr>
        <w:spacing w:after="40"/>
      </w:pPr>
      <w:r>
        <w:rPr>
          <w:b/>
        </w:rPr>
        <w:t xml:space="preserve">Version: </w:t>
      </w:r>
      <w:r>
        <w:t>V1.0</w:t>
      </w:r>
    </w:p>
    <w:p>
      <w:pPr>
        <w:pStyle w:val="Heading1"/>
      </w:pPr>
      <w:r>
        <w:t>Purpose</w:t>
      </w:r>
    </w:p>
    <w:p>
      <w:r>
        <w:t>Control increasing commitment through problem, readiness, evidence, local validation, economics, pilot, scale, renewal, and retirement gates.</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documentation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7A2334"/>
          </w:tcPr>
          <w:p>
            <w:r>
              <w:rPr>
                <w:b/>
                <w:color w:val="FFFFFF"/>
                <w:sz w:val="18"/>
              </w:rPr>
              <w:t>Gate or stage</w:t>
            </w:r>
          </w:p>
        </w:tc>
        <w:tc>
          <w:tcPr>
            <w:tcW w:type="dxa" w:w="2016"/>
            <w:shd w:fill="7A2334"/>
          </w:tcPr>
          <w:p>
            <w:r>
              <w:rPr>
                <w:b/>
                <w:color w:val="FFFFFF"/>
                <w:sz w:val="18"/>
              </w:rPr>
              <w:t>Required evidence and output</w:t>
            </w:r>
          </w:p>
        </w:tc>
        <w:tc>
          <w:tcPr>
            <w:tcW w:type="dxa" w:w="2016"/>
            <w:shd w:fill="7A2334"/>
          </w:tcPr>
          <w:p>
            <w:r>
              <w:rPr>
                <w:b/>
                <w:color w:val="FFFFFF"/>
                <w:sz w:val="18"/>
              </w:rPr>
              <w:t>Status</w:t>
            </w:r>
          </w:p>
        </w:tc>
        <w:tc>
          <w:tcPr>
            <w:tcW w:type="dxa" w:w="2016"/>
            <w:shd w:fill="7A2334"/>
          </w:tcPr>
          <w:p>
            <w:r>
              <w:rPr>
                <w:b/>
                <w:color w:val="FFFFFF"/>
                <w:sz w:val="18"/>
              </w:rPr>
              <w:t>Condition, remediation, or exit</w:t>
            </w:r>
          </w:p>
        </w:tc>
        <w:tc>
          <w:tcPr>
            <w:tcW w:type="dxa" w:w="2016"/>
            <w:shd w:fill="7A2334"/>
          </w:tcPr>
          <w:p>
            <w:r>
              <w:rPr>
                <w:b/>
                <w:color w:val="FFFFFF"/>
                <w:sz w:val="18"/>
              </w:rPr>
              <w:t>Owner, decision, and date</w:t>
            </w:r>
          </w:p>
        </w:tc>
      </w:tr>
      <w:tr>
        <w:tc>
          <w:tcPr>
            <w:tcW w:type="dxa" w:w="2016"/>
            <w:vAlign w:val="top"/>
            <w:shd w:fill="F2E8EB"/>
          </w:tcPr>
          <w:p>
            <w:r>
              <w:rPr>
                <w:sz w:val="17"/>
              </w:rPr>
              <w:t>Problem and comparator</w:t>
            </w:r>
          </w:p>
        </w:tc>
        <w:tc>
          <w:tcPr>
            <w:tcW w:type="dxa" w:w="2016"/>
            <w:vAlign w:val="top"/>
          </w:tcPr>
          <w:p>
            <w:r>
              <w:rPr>
                <w:sz w:val="17"/>
              </w:rPr>
              <w:t>Baseline burden, alternatives, intended action, outcomes, and opportunity cost</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t>Readiness and data</w:t>
            </w:r>
          </w:p>
        </w:tc>
        <w:tc>
          <w:tcPr>
            <w:tcW w:type="dxa" w:w="2016"/>
            <w:vAlign w:val="top"/>
          </w:tcPr>
          <w:p>
            <w:r>
              <w:rPr>
                <w:sz w:val="17"/>
              </w:rPr>
              <w:t>Infrastructure, data fitness, workflow, workforce, quality, governance, and capacity</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t>External evidence and due diligence</w:t>
            </w:r>
          </w:p>
        </w:tc>
        <w:tc>
          <w:tcPr>
            <w:tcW w:type="dxa" w:w="2016"/>
            <w:vAlign w:val="top"/>
          </w:tcPr>
          <w:p>
            <w:r>
              <w:rPr>
                <w:sz w:val="17"/>
              </w:rPr>
              <w:t>Exact version, applicability, independent appraisal, limitations, and claim challenge</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t>Local silent validation</w:t>
            </w:r>
          </w:p>
        </w:tc>
        <w:tc>
          <w:tcPr>
            <w:tcW w:type="dxa" w:w="2016"/>
            <w:vAlign w:val="top"/>
          </w:tcPr>
          <w:p>
            <w:r>
              <w:rPr>
                <w:sz w:val="17"/>
              </w:rPr>
              <w:t>Technical and human–AI performance, subgroups, workflow, safety, and monitoring feasibility</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t>Economic and affordability review</w:t>
            </w:r>
          </w:p>
        </w:tc>
        <w:tc>
          <w:tcPr>
            <w:tcW w:type="dxa" w:w="2016"/>
            <w:vAlign w:val="top"/>
          </w:tcPr>
          <w:p>
            <w:r>
              <w:rPr>
                <w:sz w:val="17"/>
              </w:rPr>
              <w:t>Lifecycle cost, pricing, outcomes, budget impact, uncertainty, and benefit realization</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t>Controlled pilot</w:t>
            </w:r>
          </w:p>
        </w:tc>
        <w:tc>
          <w:tcPr>
            <w:tcW w:type="dxa" w:w="2016"/>
            <w:vAlign w:val="top"/>
          </w:tcPr>
          <w:p>
            <w:r>
              <w:rPr>
                <w:sz w:val="17"/>
              </w:rPr>
              <w:t>Training, fallback, incident process, measures, thresholds, duration, and decision criteria</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t>Conditional scale</w:t>
            </w:r>
          </w:p>
        </w:tc>
        <w:tc>
          <w:tcPr>
            <w:tcW w:type="dxa" w:w="2016"/>
            <w:vAlign w:val="top"/>
          </w:tcPr>
          <w:p>
            <w:r>
              <w:rPr>
                <w:sz w:val="17"/>
              </w:rPr>
              <w:t>Transfer conditions, implementation strategies, governance capacity, contract, and portfolio effects</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t>Renewal or retirement</w:t>
            </w:r>
          </w:p>
        </w:tc>
        <w:tc>
          <w:tcPr>
            <w:tcW w:type="dxa" w:w="2016"/>
            <w:vAlign w:val="top"/>
          </w:tcPr>
          <w:p>
            <w:r>
              <w:rPr>
                <w:sz w:val="17"/>
              </w:rPr>
              <w:t>Current comparator, evidence, value, safeguards, material changes, alternatives, and exit</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bl>
    <w:p>
      <w:r>
        <w:br w:type="page"/>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52565A"/>
          </w:tcPr>
          <w:p>
            <w:r>
              <w:rPr>
                <w:b/>
                <w:color w:val="FFFFFF"/>
                <w:sz w:val="18"/>
              </w:rPr>
              <w:t>Gate or stage</w:t>
            </w:r>
          </w:p>
        </w:tc>
        <w:tc>
          <w:tcPr>
            <w:tcW w:type="dxa" w:w="2016"/>
            <w:shd w:fill="52565A"/>
          </w:tcPr>
          <w:p>
            <w:r>
              <w:rPr>
                <w:b/>
                <w:color w:val="FFFFFF"/>
                <w:sz w:val="18"/>
              </w:rPr>
              <w:t>Required evidence and output</w:t>
            </w:r>
          </w:p>
        </w:tc>
        <w:tc>
          <w:tcPr>
            <w:tcW w:type="dxa" w:w="2016"/>
            <w:shd w:fill="52565A"/>
          </w:tcPr>
          <w:p>
            <w:r>
              <w:rPr>
                <w:b/>
                <w:color w:val="FFFFFF"/>
                <w:sz w:val="18"/>
              </w:rPr>
              <w:t>Status</w:t>
            </w:r>
          </w:p>
        </w:tc>
        <w:tc>
          <w:tcPr>
            <w:tcW w:type="dxa" w:w="2016"/>
            <w:shd w:fill="52565A"/>
          </w:tcPr>
          <w:p>
            <w:r>
              <w:rPr>
                <w:b/>
                <w:color w:val="FFFFFF"/>
                <w:sz w:val="18"/>
              </w:rPr>
              <w:t>Condition, remediation, or exit</w:t>
            </w:r>
          </w:p>
        </w:tc>
        <w:tc>
          <w:tcPr>
            <w:tcW w:type="dxa" w:w="2016"/>
            <w:shd w:fill="52565A"/>
          </w:tcPr>
          <w:p>
            <w:r>
              <w:rPr>
                <w:b/>
                <w:color w:val="FFFFFF"/>
                <w:sz w:val="18"/>
              </w:rPr>
              <w:t>Owner, decision, and date</w:t>
            </w:r>
          </w:p>
        </w:tc>
      </w:tr>
      <w:tr>
        <w:tc>
          <w:tcPr>
            <w:tcW w:type="dxa" w:w="2016"/>
            <w:vAlign w:val="top"/>
            <w:shd w:fill="EFEFEF"/>
          </w:tcPr>
          <w:p>
            <w:r>
              <w:rPr>
                <w:sz w:val="17"/>
              </w:rPr>
              <w:t>Problem and comparator</w:t>
            </w:r>
          </w:p>
        </w:tc>
        <w:tc>
          <w:tcPr>
            <w:tcW w:type="dxa" w:w="2016"/>
            <w:vAlign w:val="top"/>
          </w:tcPr>
          <w:p>
            <w:r>
              <w:rPr>
                <w:sz w:val="17"/>
              </w:rPr>
              <w:t>Baseline burden, alternatives, intended action, outcomes, and opportunity cost</w:t>
            </w:r>
          </w:p>
        </w:tc>
        <w:tc>
          <w:tcPr>
            <w:tcW w:type="dxa" w:w="2016"/>
            <w:vAlign w:val="top"/>
          </w:tcPr>
          <w:p>
            <w:r>
              <w:rPr>
                <w:sz w:val="17"/>
              </w:rPr>
              <w:t>Conditionally ready</w:t>
            </w:r>
          </w:p>
        </w:tc>
        <w:tc>
          <w:tcPr>
            <w:tcW w:type="dxa" w:w="2016"/>
            <w:vAlign w:val="top"/>
          </w:tcPr>
          <w:p>
            <w:r>
              <w:rPr>
                <w:sz w:val="17"/>
              </w:rPr>
              <w:t>Proceed conditionally after documented remediation, owner approval, and verification.</w:t>
            </w:r>
          </w:p>
        </w:tc>
        <w:tc>
          <w:tcPr>
            <w:tcW w:type="dxa" w:w="2016"/>
            <w:vAlign w:val="top"/>
          </w:tcPr>
          <w:p>
            <w:r>
              <w:rPr>
                <w:sz w:val="17"/>
              </w:rPr>
              <w:t>Clinical service lead</w:t>
            </w:r>
          </w:p>
        </w:tc>
      </w:tr>
      <w:tr>
        <w:tc>
          <w:tcPr>
            <w:tcW w:type="dxa" w:w="2016"/>
            <w:vAlign w:val="top"/>
            <w:shd w:fill="EFEFEF"/>
          </w:tcPr>
          <w:p>
            <w:r>
              <w:rPr>
                <w:sz w:val="17"/>
              </w:rPr>
              <w:t>Readiness and data</w:t>
            </w:r>
          </w:p>
        </w:tc>
        <w:tc>
          <w:tcPr>
            <w:tcW w:type="dxa" w:w="2016"/>
            <w:vAlign w:val="top"/>
          </w:tcPr>
          <w:p>
            <w:r>
              <w:rPr>
                <w:sz w:val="17"/>
              </w:rPr>
              <w:t>Infrastructure, data fitness, workflow, workforce, quality, governance, and capacity</w:t>
            </w:r>
          </w:p>
        </w:tc>
        <w:tc>
          <w:tcPr>
            <w:tcW w:type="dxa" w:w="2016"/>
            <w:vAlign w:val="top"/>
          </w:tcPr>
          <w:p>
            <w:r>
              <w:rPr>
                <w:sz w:val="17"/>
              </w:rPr>
              <w:t>Conditionally ready</w:t>
            </w:r>
          </w:p>
        </w:tc>
        <w:tc>
          <w:tcPr>
            <w:tcW w:type="dxa" w:w="2016"/>
            <w:vAlign w:val="top"/>
          </w:tcPr>
          <w:p>
            <w:r>
              <w:rPr>
                <w:sz w:val="17"/>
              </w:rPr>
              <w:t>Proceed conditionally after documented remediation, owner approval, and verification.</w:t>
            </w:r>
          </w:p>
        </w:tc>
        <w:tc>
          <w:tcPr>
            <w:tcW w:type="dxa" w:w="2016"/>
            <w:vAlign w:val="top"/>
          </w:tcPr>
          <w:p>
            <w:r>
              <w:rPr>
                <w:sz w:val="17"/>
              </w:rPr>
              <w:t>Quality lead</w:t>
            </w:r>
          </w:p>
        </w:tc>
      </w:tr>
      <w:tr>
        <w:tc>
          <w:tcPr>
            <w:tcW w:type="dxa" w:w="2016"/>
            <w:vAlign w:val="top"/>
            <w:shd w:fill="EFEFEF"/>
          </w:tcPr>
          <w:p>
            <w:r>
              <w:rPr>
                <w:sz w:val="17"/>
              </w:rPr>
              <w:t>External evidence and due diligence</w:t>
            </w:r>
          </w:p>
        </w:tc>
        <w:tc>
          <w:tcPr>
            <w:tcW w:type="dxa" w:w="2016"/>
            <w:vAlign w:val="top"/>
          </w:tcPr>
          <w:p>
            <w:r>
              <w:rPr>
                <w:sz w:val="17"/>
              </w:rPr>
              <w:t>Exact version, applicability, independent appraisal, limitations, and claim challenge</w:t>
            </w:r>
          </w:p>
        </w:tc>
        <w:tc>
          <w:tcPr>
            <w:tcW w:type="dxa" w:w="2016"/>
            <w:vAlign w:val="top"/>
          </w:tcPr>
          <w:p>
            <w:r>
              <w:rPr>
                <w:sz w:val="17"/>
              </w:rPr>
              <w:t>Conditionally ready</w:t>
            </w:r>
          </w:p>
        </w:tc>
        <w:tc>
          <w:tcPr>
            <w:tcW w:type="dxa" w:w="2016"/>
            <w:vAlign w:val="top"/>
          </w:tcPr>
          <w:p>
            <w:r>
              <w:rPr>
                <w:sz w:val="17"/>
              </w:rPr>
              <w:t>Proceed conditionally after documented remediation, owner approval, and verification.</w:t>
            </w:r>
          </w:p>
        </w:tc>
        <w:tc>
          <w:tcPr>
            <w:tcW w:type="dxa" w:w="2016"/>
            <w:vAlign w:val="top"/>
          </w:tcPr>
          <w:p>
            <w:r>
              <w:rPr>
                <w:sz w:val="17"/>
              </w:rPr>
              <w:t>Data steward</w:t>
            </w:r>
          </w:p>
        </w:tc>
      </w:tr>
      <w:tr>
        <w:tc>
          <w:tcPr>
            <w:tcW w:type="dxa" w:w="2016"/>
            <w:vAlign w:val="top"/>
            <w:shd w:fill="EFEFEF"/>
          </w:tcPr>
          <w:p>
            <w:r>
              <w:rPr>
                <w:sz w:val="17"/>
              </w:rPr>
              <w:t>Local silent validation</w:t>
            </w:r>
          </w:p>
        </w:tc>
        <w:tc>
          <w:tcPr>
            <w:tcW w:type="dxa" w:w="2016"/>
            <w:vAlign w:val="top"/>
          </w:tcPr>
          <w:p>
            <w:r>
              <w:rPr>
                <w:sz w:val="17"/>
              </w:rPr>
              <w:t>Technical and human–AI performance, subgroups, workflow, safety, and monitoring feasibility</w:t>
            </w:r>
          </w:p>
        </w:tc>
        <w:tc>
          <w:tcPr>
            <w:tcW w:type="dxa" w:w="2016"/>
            <w:vAlign w:val="top"/>
          </w:tcPr>
          <w:p>
            <w:r>
              <w:rPr>
                <w:sz w:val="17"/>
              </w:rPr>
              <w:t>Conditionally ready</w:t>
            </w:r>
          </w:p>
        </w:tc>
        <w:tc>
          <w:tcPr>
            <w:tcW w:type="dxa" w:w="2016"/>
            <w:vAlign w:val="top"/>
          </w:tcPr>
          <w:p>
            <w:r>
              <w:rPr>
                <w:sz w:val="17"/>
              </w:rPr>
              <w:t>Proceed conditionally after documented remediation, owner approval, and verification.</w:t>
            </w:r>
          </w:p>
        </w:tc>
        <w:tc>
          <w:tcPr>
            <w:tcW w:type="dxa" w:w="2016"/>
            <w:vAlign w:val="top"/>
          </w:tcPr>
          <w:p>
            <w:r>
              <w:rPr>
                <w:sz w:val="17"/>
              </w:rPr>
              <w:t>Health economist</w:t>
            </w:r>
          </w:p>
        </w:tc>
      </w:tr>
      <w:tr>
        <w:tc>
          <w:tcPr>
            <w:tcW w:type="dxa" w:w="2016"/>
            <w:vAlign w:val="top"/>
            <w:shd w:fill="EFEFEF"/>
          </w:tcPr>
          <w:p>
            <w:r>
              <w:rPr>
                <w:sz w:val="17"/>
              </w:rPr>
              <w:t>Economic and affordability review</w:t>
            </w:r>
          </w:p>
        </w:tc>
        <w:tc>
          <w:tcPr>
            <w:tcW w:type="dxa" w:w="2016"/>
            <w:vAlign w:val="top"/>
          </w:tcPr>
          <w:p>
            <w:r>
              <w:rPr>
                <w:sz w:val="17"/>
              </w:rPr>
              <w:t>Lifecycle cost, pricing, outcomes, budget impact, uncertainty, and benefit realization</w:t>
            </w:r>
          </w:p>
        </w:tc>
        <w:tc>
          <w:tcPr>
            <w:tcW w:type="dxa" w:w="2016"/>
            <w:vAlign w:val="top"/>
          </w:tcPr>
          <w:p>
            <w:r>
              <w:rPr>
                <w:sz w:val="17"/>
              </w:rPr>
              <w:t>Conditionally ready</w:t>
            </w:r>
          </w:p>
        </w:tc>
        <w:tc>
          <w:tcPr>
            <w:tcW w:type="dxa" w:w="2016"/>
            <w:vAlign w:val="top"/>
          </w:tcPr>
          <w:p>
            <w:r>
              <w:rPr>
                <w:sz w:val="17"/>
              </w:rPr>
              <w:t>Proceed conditionally after documented remediation, owner approval, and verification.</w:t>
            </w:r>
          </w:p>
        </w:tc>
        <w:tc>
          <w:tcPr>
            <w:tcW w:type="dxa" w:w="2016"/>
            <w:vAlign w:val="top"/>
          </w:tcPr>
          <w:p>
            <w:r>
              <w:rPr>
                <w:sz w:val="17"/>
              </w:rPr>
              <w:t>Procurement lead</w:t>
            </w:r>
          </w:p>
        </w:tc>
      </w:tr>
      <w:tr>
        <w:tc>
          <w:tcPr>
            <w:tcW w:type="dxa" w:w="2016"/>
            <w:vAlign w:val="top"/>
            <w:shd w:fill="EFEFEF"/>
          </w:tcPr>
          <w:p>
            <w:r>
              <w:rPr>
                <w:sz w:val="17"/>
              </w:rPr>
              <w:t>Controlled pilot</w:t>
            </w:r>
          </w:p>
        </w:tc>
        <w:tc>
          <w:tcPr>
            <w:tcW w:type="dxa" w:w="2016"/>
            <w:vAlign w:val="top"/>
          </w:tcPr>
          <w:p>
            <w:r>
              <w:rPr>
                <w:sz w:val="17"/>
              </w:rPr>
              <w:t>Training, fallback, incident process, measures, thresholds, duration, and decision criteria</w:t>
            </w:r>
          </w:p>
        </w:tc>
        <w:tc>
          <w:tcPr>
            <w:tcW w:type="dxa" w:w="2016"/>
            <w:vAlign w:val="top"/>
          </w:tcPr>
          <w:p>
            <w:r>
              <w:rPr>
                <w:sz w:val="17"/>
              </w:rPr>
              <w:t>Conditionally ready</w:t>
            </w:r>
          </w:p>
        </w:tc>
        <w:tc>
          <w:tcPr>
            <w:tcW w:type="dxa" w:w="2016"/>
            <w:vAlign w:val="top"/>
          </w:tcPr>
          <w:p>
            <w:r>
              <w:rPr>
                <w:sz w:val="17"/>
              </w:rPr>
              <w:t>Proceed conditionally after documented remediation, owner approval, and verification.</w:t>
            </w:r>
          </w:p>
        </w:tc>
        <w:tc>
          <w:tcPr>
            <w:tcW w:type="dxa" w:w="2016"/>
            <w:vAlign w:val="top"/>
          </w:tcPr>
          <w:p>
            <w:r>
              <w:rPr>
                <w:sz w:val="17"/>
              </w:rPr>
              <w:t>Clinical service lead</w:t>
            </w:r>
          </w:p>
        </w:tc>
      </w:tr>
      <w:tr>
        <w:tc>
          <w:tcPr>
            <w:tcW w:type="dxa" w:w="2016"/>
            <w:vAlign w:val="top"/>
            <w:shd w:fill="EFEFEF"/>
          </w:tcPr>
          <w:p>
            <w:r>
              <w:rPr>
                <w:sz w:val="17"/>
              </w:rPr>
              <w:t>Conditional scale</w:t>
            </w:r>
          </w:p>
        </w:tc>
        <w:tc>
          <w:tcPr>
            <w:tcW w:type="dxa" w:w="2016"/>
            <w:vAlign w:val="top"/>
          </w:tcPr>
          <w:p>
            <w:r>
              <w:rPr>
                <w:sz w:val="17"/>
              </w:rPr>
              <w:t>Transfer conditions, implementation strategies, governance capacity, contract, and portfolio effects</w:t>
            </w:r>
          </w:p>
        </w:tc>
        <w:tc>
          <w:tcPr>
            <w:tcW w:type="dxa" w:w="2016"/>
            <w:vAlign w:val="top"/>
          </w:tcPr>
          <w:p>
            <w:r>
              <w:rPr>
                <w:sz w:val="17"/>
              </w:rPr>
              <w:t>Conditionally ready</w:t>
            </w:r>
          </w:p>
        </w:tc>
        <w:tc>
          <w:tcPr>
            <w:tcW w:type="dxa" w:w="2016"/>
            <w:vAlign w:val="top"/>
          </w:tcPr>
          <w:p>
            <w:r>
              <w:rPr>
                <w:sz w:val="17"/>
              </w:rPr>
              <w:t>Proceed conditionally after documented remediation, owner approval, and verification.</w:t>
            </w:r>
          </w:p>
        </w:tc>
        <w:tc>
          <w:tcPr>
            <w:tcW w:type="dxa" w:w="2016"/>
            <w:vAlign w:val="top"/>
          </w:tcPr>
          <w:p>
            <w:r>
              <w:rPr>
                <w:sz w:val="17"/>
              </w:rPr>
              <w:t>Quality lead</w:t>
            </w:r>
          </w:p>
        </w:tc>
      </w:tr>
      <w:tr>
        <w:tc>
          <w:tcPr>
            <w:tcW w:type="dxa" w:w="2016"/>
            <w:vAlign w:val="top"/>
            <w:shd w:fill="EFEFEF"/>
          </w:tcPr>
          <w:p>
            <w:r>
              <w:rPr>
                <w:sz w:val="17"/>
              </w:rPr>
              <w:t>Renewal or retirement</w:t>
            </w:r>
          </w:p>
        </w:tc>
        <w:tc>
          <w:tcPr>
            <w:tcW w:type="dxa" w:w="2016"/>
            <w:vAlign w:val="top"/>
          </w:tcPr>
          <w:p>
            <w:r>
              <w:rPr>
                <w:sz w:val="17"/>
              </w:rPr>
              <w:t>Current comparator, evidence, value, safeguards, material changes, alternatives, and exit</w:t>
            </w:r>
          </w:p>
        </w:tc>
        <w:tc>
          <w:tcPr>
            <w:tcW w:type="dxa" w:w="2016"/>
            <w:vAlign w:val="top"/>
          </w:tcPr>
          <w:p>
            <w:r>
              <w:rPr>
                <w:sz w:val="17"/>
              </w:rPr>
              <w:t>Conditionally ready</w:t>
            </w:r>
          </w:p>
        </w:tc>
        <w:tc>
          <w:tcPr>
            <w:tcW w:type="dxa" w:w="2016"/>
            <w:vAlign w:val="top"/>
          </w:tcPr>
          <w:p>
            <w:r>
              <w:rPr>
                <w:sz w:val="17"/>
              </w:rPr>
              <w:t>Proceed conditionally after documented remediation, owner approval, and verification.</w:t>
            </w:r>
          </w:p>
        </w:tc>
        <w:tc>
          <w:tcPr>
            <w:tcW w:type="dxa" w:w="2016"/>
            <w:vAlign w:val="top"/>
          </w:tcPr>
          <w:p>
            <w:r>
              <w:rPr>
                <w:sz w:val="17"/>
              </w:rPr>
              <w:t>Data steward</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AIHE-D02 | V1.0 | Create a governed copy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AIHE-D02 template and worked example</dc:title>
  <dc:creator/>
  <ns0:lastModifiedBy/>
  <ns2:created xsi:type="dcterms:W3CDTF">2026-08-06T00:00:00Z</ns2:created>
  <ns2:modified xsi:type="dcterms:W3CDTF">2026-08-06T00:00:00Z</ns2:modified>
</ns0:coreProperties>
</file>