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color w:val="1F4E79"/>
        </w:rPr>
        <w:t>AIHE-AE — AI-HED Completeness and Decision-Quality Review</w:t>
      </w:r>
    </w:p>
    <w:p>
      <w:r>
        <w:rPr>
          <w:rFonts w:ascii="Arial" w:hAnsi="Arial"/>
          <w:color w:val="595959"/>
          <w:sz w:val="17"/>
        </w:rPr>
        <w:t>Current digital location: Resource Set D — Procurement, Implementation, and Lifecycle Governance. Stable resource ID retained for continuity across companion editions.</w:t>
      </w:r>
    </w:p>
    <w:p>
      <w:pPr>
        <w:jc w:val="center"/>
      </w:pPr>
      <w:r>
        <w:rPr>
          <w:b/>
          <w:color w:val="2F5597"/>
        </w:rPr>
        <w:t>Synthetic worked example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Current digital location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Resource Set D — Procurement, Implementation, and Lifecycle Governance</w:t>
            </w:r>
          </w:p>
        </w:tc>
      </w:tr>
      <w:tr>
        <w:tc>
          <w:tcPr>
            <w:tcW w:type="dxa" w:w="52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Related book chapters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Chapter 12: Decision Architecture and Lifecycle Governance; Chapter 12: Decision Architecture and Lifecycle Governance; Chapter 12: Decision Architecture and Lifecycle Governance</w:t>
            </w:r>
          </w:p>
        </w:tc>
      </w:tr>
      <w:tr>
        <w:tc>
          <w:tcPr>
            <w:tcW w:type="dxa" w:w="52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Workflow step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09: 09_Dossier_Decision</w:t>
            </w:r>
          </w:p>
        </w:tc>
      </w:tr>
      <w:tr>
        <w:tc>
          <w:tcPr>
            <w:tcW w:type="dxa" w:w="52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>
              <w:t>6.0.0 | aligned to the fifteen-chapter reference edition and Resource Sets A–E</w:t>
            </w:r>
          </w:p>
        </w:tc>
      </w:tr>
    </w:tbl>
    <w:p>
      <w:r>
        <w:rPr>
          <w:b/>
        </w:rPr>
        <w:t xml:space="preserve">Purpose. </w:t>
      </w:r>
      <w:r>
        <w:t>Review dossier completeness, confidence, inconsistencies, mandatory safeguards, decision readiness, and remediation.</w:t>
      </w:r>
    </w:p>
    <w:p>
      <w:r>
        <w:rPr>
          <w:b/>
        </w:rPr>
        <w:t xml:space="preserve">Use note. </w:t>
      </w:r>
      <w:r>
        <w:t>Use the resource as a versioned institutional record. Adapt it to local law, policy, clinical practice, information security, procurement, and health-technology-assessment requirements. Do not enter identifiable patient data or confidential credentials into public copies.</w:t>
      </w:r>
    </w:p>
    <w:p>
      <w:r>
        <w:rPr>
          <w:b/>
        </w:rPr>
        <w:t xml:space="preserve">Worked-example status. </w:t>
      </w:r>
      <w:r>
        <w:t>All names, organizations, figures, findings, and decisions are fictional and are included only to demonstrate completion logic.</w:t>
      </w:r>
    </w:p>
    <w:p>
      <w:pPr>
        <w:pStyle w:val="Heading1"/>
        <w:keepNext/>
      </w:pPr>
      <w:r>
        <w:t>How to use this resource</w:t>
      </w:r>
    </w:p>
    <w:p>
      <w:r>
        <w:t>This institutional review replaces the former grading-oriented dossier rubric. It tests completeness, internal consistency, confidence, mandatory safeguards, and decision readiness; it is not a student score.</w:t>
      </w:r>
    </w:p>
    <w:p>
      <w:pPr>
        <w:pStyle w:val="Heading1"/>
        <w:keepNext/>
      </w:pPr>
      <w:r>
        <w:t>AI-HED completeness and decision-quality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rPr>
          <w:tblHeader w:val="true"/>
        </w:trPr>
        <w:tc>
          <w:tcPr>
            <w:tcW w:type="dxa" w:w="208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360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Minimum decision-quality requirement</w:t>
            </w:r>
          </w:p>
        </w:tc>
        <w:tc>
          <w:tcPr>
            <w:tcW w:type="dxa" w:w="10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0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Confidence</w:t>
            </w:r>
          </w:p>
        </w:tc>
        <w:tc>
          <w:tcPr>
            <w:tcW w:type="dxa" w:w="230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Critical gap or inconsistency</w:t>
            </w:r>
          </w:p>
        </w:tc>
        <w:tc>
          <w:tcPr>
            <w:tcW w:type="dxa" w:w="223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Action / owner / due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problem and comparator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Measurable problem, intended use, excluded use, realistic alternatives, decision rule.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Complete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High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None.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Maintain through change control.</w:t>
            </w:r>
          </w:p>
        </w:tc>
      </w:tr>
      <w:tr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Data readiness and governance</w:t>
            </w:r>
          </w:p>
        </w:tc>
        <w:tc>
          <w:tcPr>
            <w:tcW w:type="dxa" w:w="360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Sources, fitness, provenance, lawful basis, access, representativeness, continuity.</w:t>
            </w:r>
          </w:p>
        </w:tc>
        <w:tc>
          <w:tcPr>
            <w:tcW w:type="dxa" w:w="108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Conditional</w:t>
            </w:r>
          </w:p>
        </w:tc>
        <w:tc>
          <w:tcPr>
            <w:tcW w:type="dxa" w:w="108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Medium</w:t>
            </w:r>
          </w:p>
        </w:tc>
        <w:tc>
          <w:tcPr>
            <w:tcW w:type="dxa" w:w="230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One terminology map pending.</w:t>
            </w:r>
          </w:p>
        </w:tc>
        <w:tc>
          <w:tcPr>
            <w:tcW w:type="dxa" w:w="223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Data steward—before pilot.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Evidence and local validation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External appraisal, local performance, calibration, subgroups, human factors, workflow utility.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Complete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Medium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Rare-event uncertainty remains.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Monitor prospectively.</w:t>
            </w:r>
          </w:p>
        </w:tc>
      </w:tr>
      <w:tr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Economic analysis</w:t>
            </w:r>
          </w:p>
        </w:tc>
        <w:tc>
          <w:tcPr>
            <w:tcW w:type="dxa" w:w="360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TCAIO, benefit mechanism, BIA, CEA/NMB where relevant, uncertainty, distribution, opportunity cost.</w:t>
            </w:r>
          </w:p>
        </w:tc>
        <w:tc>
          <w:tcPr>
            <w:tcW w:type="dxa" w:w="108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Complete</w:t>
            </w:r>
          </w:p>
        </w:tc>
        <w:tc>
          <w:tcPr>
            <w:tcW w:type="dxa" w:w="108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Medium</w:t>
            </w:r>
          </w:p>
        </w:tc>
        <w:tc>
          <w:tcPr>
            <w:tcW w:type="dxa" w:w="230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Savings depend on adoption.</w:t>
            </w:r>
          </w:p>
        </w:tc>
        <w:tc>
          <w:tcPr>
            <w:tcW w:type="dxa" w:w="223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Service owner—90-day review.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Ethics, equity, privacy, security, trust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Rights, safeguards, residual risk, human alternative, accessibility, incident response.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Conditional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Medium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Patient notice requires usability test.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Patient relations—30 days.</w:t>
            </w:r>
          </w:p>
        </w:tc>
      </w:tr>
      <w:tr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Procurement and contract</w:t>
            </w:r>
          </w:p>
        </w:tc>
        <w:tc>
          <w:tcPr>
            <w:tcW w:type="dxa" w:w="360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Evidence, audit, updates, pricing, service levels, data rights, exit, liability, assurance.</w:t>
            </w:r>
          </w:p>
        </w:tc>
        <w:tc>
          <w:tcPr>
            <w:tcW w:type="dxa" w:w="108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Complete</w:t>
            </w:r>
          </w:p>
        </w:tc>
        <w:tc>
          <w:tcPr>
            <w:tcW w:type="dxa" w:w="108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High</w:t>
            </w:r>
          </w:p>
        </w:tc>
        <w:tc>
          <w:tcPr>
            <w:tcW w:type="dxa" w:w="230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None.</w:t>
            </w:r>
          </w:p>
        </w:tc>
        <w:tc>
          <w:tcPr>
            <w:tcW w:type="dxa" w:w="223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Verify at signature.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Implementation and workforce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Stage plan, workflow, training, competency, capacity, adoption, change support.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Complete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Medium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Night-shift training not complete.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Clinical educator—before launch.</w:t>
            </w:r>
          </w:p>
        </w:tc>
      </w:tr>
      <w:tr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Monitoring and lifecycle</w:t>
            </w:r>
          </w:p>
        </w:tc>
        <w:tc>
          <w:tcPr>
            <w:tcW w:type="dxa" w:w="360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Cadence, metrics, thresholds, incidents, material change, renewal, de-adoption.</w:t>
            </w:r>
          </w:p>
        </w:tc>
        <w:tc>
          <w:tcPr>
            <w:tcW w:type="dxa" w:w="108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Complete</w:t>
            </w:r>
          </w:p>
        </w:tc>
        <w:tc>
          <w:tcPr>
            <w:tcW w:type="dxa" w:w="108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High</w:t>
            </w:r>
          </w:p>
        </w:tc>
        <w:tc>
          <w:tcPr>
            <w:tcW w:type="dxa" w:w="230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None.</w:t>
            </w:r>
          </w:p>
        </w:tc>
        <w:tc>
          <w:tcPr>
            <w:tcW w:type="dxa" w:w="223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Monthly pilot review.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record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Recommendation, conditions, owners, dissent, authority, review date, trigger events.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Complete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High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None.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Archive signed record.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Mandatory safeguards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302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Safeguard</w:t>
            </w:r>
          </w:p>
        </w:tc>
        <w:tc>
          <w:tcPr>
            <w:tcW w:type="dxa" w:w="223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Pass / conditional / fail</w:t>
            </w:r>
          </w:p>
        </w:tc>
        <w:tc>
          <w:tcPr>
            <w:tcW w:type="dxa" w:w="554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and residual risk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Patient safety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  <w:tc>
          <w:tcPr>
            <w:tcW w:type="dxa" w:w="55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Clinical safety review and fallback tested.</w:t>
            </w:r>
          </w:p>
        </w:tc>
      </w:tr>
      <w:tr>
        <w:tc>
          <w:tcPr>
            <w:tcW w:type="dxa" w:w="3024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Lawful and proportionate data use</w:t>
            </w:r>
          </w:p>
        </w:tc>
        <w:tc>
          <w:tcPr>
            <w:tcW w:type="dxa" w:w="223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Conditional</w:t>
            </w:r>
          </w:p>
        </w:tc>
        <w:tc>
          <w:tcPr>
            <w:tcW w:type="dxa" w:w="554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Final access approval pending.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Privacy and cybersecurity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  <w:tc>
          <w:tcPr>
            <w:tcW w:type="dxa" w:w="55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Security testing complete; residual vendor risk accepted.</w:t>
            </w:r>
          </w:p>
        </w:tc>
      </w:tr>
      <w:tr>
        <w:tc>
          <w:tcPr>
            <w:tcW w:type="dxa" w:w="3024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Equity and non-discrimination</w:t>
            </w:r>
          </w:p>
        </w:tc>
        <w:tc>
          <w:tcPr>
            <w:tcW w:type="dxa" w:w="223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Conditional</w:t>
            </w:r>
          </w:p>
        </w:tc>
        <w:tc>
          <w:tcPr>
            <w:tcW w:type="dxa" w:w="554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Prospective subgroup monitoring required.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Human oversight and accountability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  <w:tc>
          <w:tcPr>
            <w:tcW w:type="dxa" w:w="55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Named owner, escalation, override, and pause authority.</w:t>
            </w:r>
          </w:p>
        </w:tc>
      </w:tr>
      <w:tr>
        <w:tc>
          <w:tcPr>
            <w:tcW w:type="dxa" w:w="3024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Monitoring and ability to stop</w:t>
            </w:r>
          </w:p>
        </w:tc>
        <w:tc>
          <w:tcPr>
            <w:tcW w:type="dxa" w:w="223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  <w:tc>
          <w:tcPr>
            <w:tcW w:type="dxa" w:w="554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Thresholds, rollback, and de-adoption plan tested.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Decision and review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08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46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Guidance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Record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Recommended status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/ proceed with conditions / redesign / restrict / pause / replace / retire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with conditions</w:t>
            </w:r>
          </w:p>
        </w:tc>
      </w:tr>
      <w:tr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Mandatory safeguards</w:t>
            </w:r>
          </w:p>
        </w:tc>
        <w:tc>
          <w:tcPr>
            <w:tcW w:type="dxa" w:w="446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Safety, lawful data use, privacy/security, equity, human oversight, monitoring, ability to stop</w:t>
            </w:r>
          </w:p>
        </w:tc>
        <w:tc>
          <w:tcPr>
            <w:tcW w:type="dxa" w:w="34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Passed with two conditions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Material unresolved issues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Record gaps that could change the decision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Local subgroup sample remains small</w:t>
            </w:r>
          </w:p>
        </w:tc>
      </w:tr>
      <w:tr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Conditions, owners, and due dates</w:t>
            </w:r>
          </w:p>
        </w:tc>
        <w:tc>
          <w:tcPr>
            <w:tcW w:type="dxa" w:w="446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Link every condition to an accountable owner and verification date</w:t>
            </w:r>
          </w:p>
        </w:tc>
        <w:tc>
          <w:tcPr>
            <w:tcW w:type="dxa" w:w="34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Clinical safety lead—complete 90-day review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authority and date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Named committee or executive authority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AI Governance Committee; 30 July 2026</w:t>
            </w:r>
          </w:p>
        </w:tc>
      </w:tr>
      <w:tr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Next review or trigger event</w:t>
            </w:r>
          </w:p>
        </w:tc>
        <w:tc>
          <w:tcPr>
            <w:tcW w:type="dxa" w:w="446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Date and event-triggered review conditions</w:t>
            </w:r>
          </w:p>
        </w:tc>
        <w:tc>
          <w:tcPr>
            <w:tcW w:type="dxa" w:w="34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Monthly during pilot; immediate review after material update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>AI and Healthcare Economics Companion Resource | Version 6.0.0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AIHE-AE worked example</dc:title>
  <dc:creator/>
  <ns0:lastModifiedBy/>
  <ns2:created xsi:type="dcterms:W3CDTF">2026-08-06T00:00:00Z</ns2:created>
  <ns2:modified xsi:type="dcterms:W3CDTF">2026-08-06T00:00:00Z</ns2:modified>
</ns0:coreProperties>
</file>