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Incident Classification and Reconstruction</w:t>
      </w:r>
    </w:p>
    <w:p>
      <w:pPr>
        <w:jc w:val="center"/>
      </w:pPr>
      <w:r>
        <w:rPr>
          <w:b/>
          <w:color w:val="7A2334"/>
        </w:rPr>
        <w:t>AIHE-D04</w:t>
      </w:r>
    </w:p>
    <w:p>
      <w:pPr>
        <w:spacing w:after="40"/>
      </w:pPr>
      <w:r>
        <w:rPr>
          <w:b/>
        </w:rPr>
        <w:t xml:space="preserve">Primary chapter: </w:t>
      </w:r>
      <w:r>
        <w:t>12 — Decision Architecture and Lifecycle Governance</w:t>
      </w:r>
    </w:p>
    <w:p>
      <w:pPr>
        <w:spacing w:after="40"/>
      </w:pPr>
      <w:r>
        <w:rPr>
          <w:b/>
        </w:rPr>
        <w:t xml:space="preserve">Additional chapter alignment: </w:t>
      </w:r>
      <w:r>
        <w:t>5, 10, 11, 12</w:t>
      </w:r>
    </w:p>
    <w:p>
      <w:pPr>
        <w:spacing w:after="40"/>
      </w:pPr>
      <w:r>
        <w:rPr>
          <w:b/>
        </w:rPr>
        <w:t xml:space="preserve">Legacy aliases: </w:t>
      </w:r>
      <w:r>
        <w:t>AIHE-EX12</w:t>
      </w:r>
    </w:p>
    <w:p>
      <w:pPr>
        <w:spacing w:after="40"/>
      </w:pPr>
      <w:r>
        <w:rPr>
          <w:b/>
        </w:rPr>
        <w:t xml:space="preserve">Version: </w:t>
      </w:r>
      <w:r>
        <w:t>V1.0</w:t>
      </w:r>
    </w:p>
    <w:p>
      <w:pPr>
        <w:pStyle w:val="Heading1"/>
      </w:pPr>
      <w:r>
        <w:t>Purpose</w:t>
      </w:r>
    </w:p>
    <w:p>
      <w:r>
        <w:t>Reconstruct technical, clinical, workflow, privacy, cybersecurity, equity, communication, and economic incidents consistently.</w:t>
      </w:r>
    </w:p>
    <w:p>
      <w:pPr>
        <w:pStyle w:val="Heading1"/>
      </w:pPr>
      <w:r>
        <w:t>Instructions</w:t>
      </w:r>
    </w:p>
    <w:p>
      <w:pPr>
        <w:pStyle w:val="ListBullet"/>
      </w:pPr>
      <w:r>
        <w:t>Create a controlled project copy before entering institutional information.</w:t>
      </w:r>
    </w:p>
    <w:p>
      <w:pPr>
        <w:pStyle w:val="ListBullet"/>
      </w:pPr>
      <w:r>
        <w:t>Complete the record with the people who own the decision, evidence, workflow, budget, safeguards, and follow-up actions.</w:t>
      </w:r>
    </w:p>
    <w:p>
      <w:pPr>
        <w:pStyle w:val="ListBullet"/>
      </w:pPr>
      <w:r>
        <w:t>Distinguish documented evidence from assumptions, unresolved questions, and planned evidence collection.</w:t>
      </w:r>
    </w:p>
    <w:p>
      <w:pPr>
        <w:pStyle w:val="ListBullet"/>
      </w:pPr>
      <w:r>
        <w:t>Record the system and version, intended use, population, setting, comparator, evidence cut-off, accountable owner, decision conditions, review triggers, and exit or renewal criteria.</w:t>
      </w:r>
    </w:p>
    <w:p>
      <w:pPr>
        <w:pStyle w:val="ListBullet"/>
      </w:pPr>
      <w:r>
        <w:t>Do not enter identifiable patient information, credentials, private keys, or confidential contract details into uncontrolled copies.</w:t>
      </w:r>
    </w:p>
    <w:p>
      <w:pPr>
        <w:pStyle w:val="Heading1"/>
      </w:pPr>
      <w:r>
        <w:t>Status and limitations</w:t>
      </w:r>
    </w:p>
    <w:p>
      <w:r>
        <w:t>This resource is a structured decision-support and documentation aid. It is not a validated clinical instrument, legal opinion, regulatory approval, accreditation decision, cybersecurity certification, procurement authorization, or health technology assessment. Adapt it to the applicable jurisdiction, institution, population, workflow, evidence base, and accountable authority.</w:t>
      </w:r>
    </w:p>
    <w:p>
      <w:pPr>
        <w:pStyle w:val="Heading1"/>
      </w:pPr>
      <w:r>
        <w:t>Blank institutional template</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3360"/>
            <w:shd w:fill="7A2334"/>
          </w:tcPr>
          <w:p>
            <w:r>
              <w:rPr>
                <w:b/>
                <w:color w:val="FFFFFF"/>
                <w:sz w:val="18"/>
              </w:rPr>
              <w:t>Field</w:t>
            </w:r>
          </w:p>
        </w:tc>
        <w:tc>
          <w:tcPr>
            <w:tcW w:type="dxa" w:w="3360"/>
            <w:shd w:fill="7A2334"/>
          </w:tcPr>
          <w:p>
            <w:r>
              <w:rPr>
                <w:b/>
                <w:color w:val="FFFFFF"/>
                <w:sz w:val="18"/>
              </w:rPr>
              <w:t>Guidance</w:t>
            </w:r>
          </w:p>
        </w:tc>
        <w:tc>
          <w:tcPr>
            <w:tcW w:type="dxa" w:w="3360"/>
            <w:shd w:fill="7A2334"/>
          </w:tcPr>
          <w:p>
            <w:r>
              <w:rPr>
                <w:b/>
                <w:color w:val="FFFFFF"/>
                <w:sz w:val="18"/>
              </w:rPr>
              <w:t>Institutional response</w:t>
            </w:r>
          </w:p>
        </w:tc>
      </w:tr>
      <w:tr>
        <w:tc>
          <w:tcPr>
            <w:tcW w:type="dxa" w:w="3360"/>
            <w:vAlign w:val="top"/>
            <w:shd w:fill="F2E8EB"/>
          </w:tcPr>
          <w:p>
            <w:r>
              <w:rPr>
                <w:sz w:val="17"/>
              </w:rPr>
              <w:t>Event, detection, and category</w:t>
            </w:r>
          </w:p>
        </w:tc>
        <w:tc>
          <w:tcPr>
            <w:tcW w:type="dxa" w:w="3360"/>
            <w:vAlign w:val="top"/>
          </w:tcPr>
          <w:p>
            <w:r>
              <w:rPr>
                <w:sz w:val="17"/>
              </w:rPr>
              <w:t>Describe the event or pattern, who detected it, and how it was classified.</w:t>
            </w:r>
          </w:p>
        </w:tc>
        <w:tc>
          <w:tcPr>
            <w:tcW w:type="dxa" w:w="3360"/>
            <w:vAlign w:val="top"/>
          </w:tcPr>
          <w:p>
            <w:r>
              <w:rPr>
                <w:sz w:val="17"/>
              </w:rPr>
            </w:r>
          </w:p>
        </w:tc>
      </w:tr>
      <w:tr>
        <w:tc>
          <w:tcPr>
            <w:tcW w:type="dxa" w:w="3360"/>
            <w:vAlign w:val="top"/>
            <w:shd w:fill="F2E8EB"/>
          </w:tcPr>
          <w:p>
            <w:r>
              <w:rPr>
                <w:sz w:val="17"/>
              </w:rPr>
              <w:t>Data and provenance</w:t>
            </w:r>
          </w:p>
        </w:tc>
        <w:tc>
          <w:tcPr>
            <w:tcW w:type="dxa" w:w="3360"/>
            <w:vAlign w:val="top"/>
          </w:tcPr>
          <w:p>
            <w:r>
              <w:rPr>
                <w:sz w:val="17"/>
              </w:rPr>
              <w:t>Preserve available data, source, timestamp, transformation, missingness, quality state, and recent source changes.</w:t>
            </w:r>
          </w:p>
        </w:tc>
        <w:tc>
          <w:tcPr>
            <w:tcW w:type="dxa" w:w="3360"/>
            <w:vAlign w:val="top"/>
          </w:tcPr>
          <w:p>
            <w:r>
              <w:rPr>
                <w:sz w:val="17"/>
              </w:rPr>
            </w:r>
          </w:p>
        </w:tc>
      </w:tr>
      <w:tr>
        <w:tc>
          <w:tcPr>
            <w:tcW w:type="dxa" w:w="3360"/>
            <w:vAlign w:val="top"/>
            <w:shd w:fill="F2E8EB"/>
          </w:tcPr>
          <w:p>
            <w:r>
              <w:rPr>
                <w:sz w:val="17"/>
              </w:rPr>
              <w:t>System and configuration</w:t>
            </w:r>
          </w:p>
        </w:tc>
        <w:tc>
          <w:tcPr>
            <w:tcW w:type="dxa" w:w="3360"/>
            <w:vAlign w:val="top"/>
          </w:tcPr>
          <w:p>
            <w:r>
              <w:rPr>
                <w:sz w:val="17"/>
              </w:rPr>
              <w:t>Record model, software, threshold, interface, prompt, template, retrieval, knowledge source, and hosting versions.</w:t>
            </w:r>
          </w:p>
        </w:tc>
        <w:tc>
          <w:tcPr>
            <w:tcW w:type="dxa" w:w="3360"/>
            <w:vAlign w:val="top"/>
          </w:tcPr>
          <w:p>
            <w:r>
              <w:rPr>
                <w:sz w:val="17"/>
              </w:rPr>
            </w:r>
          </w:p>
        </w:tc>
      </w:tr>
      <w:tr>
        <w:tc>
          <w:tcPr>
            <w:tcW w:type="dxa" w:w="3360"/>
            <w:vAlign w:val="top"/>
            <w:shd w:fill="F2E8EB"/>
          </w:tcPr>
          <w:p>
            <w:r>
              <w:rPr>
                <w:sz w:val="17"/>
              </w:rPr>
              <w:t>AI output and uncertainty</w:t>
            </w:r>
          </w:p>
        </w:tc>
        <w:tc>
          <w:tcPr>
            <w:tcW w:type="dxa" w:w="3360"/>
            <w:vAlign w:val="top"/>
          </w:tcPr>
          <w:p>
            <w:r>
              <w:rPr>
                <w:sz w:val="17"/>
              </w:rPr>
              <w:t>Preserve score, classification, recommendation, generated content, alert, action, explanation, and uncertainty.</w:t>
            </w:r>
          </w:p>
        </w:tc>
        <w:tc>
          <w:tcPr>
            <w:tcW w:type="dxa" w:w="3360"/>
            <w:vAlign w:val="top"/>
          </w:tcPr>
          <w:p>
            <w:r>
              <w:rPr>
                <w:sz w:val="17"/>
              </w:rPr>
            </w:r>
          </w:p>
        </w:tc>
      </w:tr>
      <w:tr>
        <w:tc>
          <w:tcPr>
            <w:tcW w:type="dxa" w:w="3360"/>
            <w:vAlign w:val="top"/>
            <w:shd w:fill="F2E8EB"/>
          </w:tcPr>
          <w:p>
            <w:r>
              <w:rPr>
                <w:sz w:val="17"/>
              </w:rPr>
              <w:t>Human action and decision context</w:t>
            </w:r>
          </w:p>
        </w:tc>
        <w:tc>
          <w:tcPr>
            <w:tcW w:type="dxa" w:w="3360"/>
            <w:vAlign w:val="top"/>
          </w:tcPr>
          <w:p>
            <w:r>
              <w:rPr>
                <w:sz w:val="17"/>
              </w:rPr>
              <w:t>Record recipient, information available, accept, reject, modify, ignore, escalation, rationale, workload, staffing, patient condition, and capacity.</w:t>
            </w:r>
          </w:p>
        </w:tc>
        <w:tc>
          <w:tcPr>
            <w:tcW w:type="dxa" w:w="3360"/>
            <w:vAlign w:val="top"/>
          </w:tcPr>
          <w:p>
            <w:r>
              <w:rPr>
                <w:sz w:val="17"/>
              </w:rPr>
            </w:r>
          </w:p>
        </w:tc>
      </w:tr>
      <w:tr>
        <w:tc>
          <w:tcPr>
            <w:tcW w:type="dxa" w:w="3360"/>
            <w:vAlign w:val="top"/>
            <w:shd w:fill="F2E8EB"/>
          </w:tcPr>
          <w:p>
            <w:r>
              <w:rPr>
                <w:sz w:val="17"/>
              </w:rPr>
              <w:t>Immediate response</w:t>
            </w:r>
          </w:p>
        </w:tc>
        <w:tc>
          <w:tcPr>
            <w:tcW w:type="dxa" w:w="3360"/>
            <w:vAlign w:val="top"/>
          </w:tcPr>
          <w:p>
            <w:r>
              <w:rPr>
                <w:sz w:val="17"/>
              </w:rPr>
              <w:t>Record patient and service protection, containment, notification, restriction, pause, rollback, and fallback.</w:t>
            </w:r>
          </w:p>
        </w:tc>
        <w:tc>
          <w:tcPr>
            <w:tcW w:type="dxa" w:w="3360"/>
            <w:vAlign w:val="top"/>
          </w:tcPr>
          <w:p>
            <w:r>
              <w:rPr>
                <w:sz w:val="17"/>
              </w:rPr>
            </w:r>
          </w:p>
        </w:tc>
      </w:tr>
      <w:tr>
        <w:tc>
          <w:tcPr>
            <w:tcW w:type="dxa" w:w="3360"/>
            <w:vAlign w:val="top"/>
            <w:shd w:fill="F2E8EB"/>
          </w:tcPr>
          <w:p>
            <w:r>
              <w:rPr>
                <w:sz w:val="17"/>
              </w:rPr>
              <w:t>Causal analysis and residual uncertainty</w:t>
            </w:r>
          </w:p>
        </w:tc>
        <w:tc>
          <w:tcPr>
            <w:tcW w:type="dxa" w:w="3360"/>
            <w:vAlign w:val="top"/>
          </w:tcPr>
          <w:p>
            <w:r>
              <w:rPr>
                <w:sz w:val="17"/>
              </w:rPr>
              <w:t>Distinguish confirmed, contributing, and unresolved technical, clinical, workflow, organizational, and governance causes.</w:t>
            </w:r>
          </w:p>
        </w:tc>
        <w:tc>
          <w:tcPr>
            <w:tcW w:type="dxa" w:w="3360"/>
            <w:vAlign w:val="top"/>
          </w:tcPr>
          <w:p>
            <w:r>
              <w:rPr>
                <w:sz w:val="17"/>
              </w:rPr>
            </w:r>
          </w:p>
        </w:tc>
      </w:tr>
      <w:tr>
        <w:tc>
          <w:tcPr>
            <w:tcW w:type="dxa" w:w="3360"/>
            <w:vAlign w:val="top"/>
            <w:shd w:fill="F2E8EB"/>
          </w:tcPr>
          <w:p>
            <w:r>
              <w:rPr>
                <w:sz w:val="17"/>
              </w:rPr>
              <w:t>Corrective and preventive action</w:t>
            </w:r>
          </w:p>
        </w:tc>
        <w:tc>
          <w:tcPr>
            <w:tcW w:type="dxa" w:w="3360"/>
            <w:vAlign w:val="top"/>
          </w:tcPr>
          <w:p>
            <w:r>
              <w:rPr>
                <w:sz w:val="17"/>
              </w:rPr>
              <w:t>Record action, owner, deadline, revalidation, communication, vendor or contract response, monitoring change, and effectiveness check.</w:t>
            </w:r>
          </w:p>
        </w:tc>
        <w:tc>
          <w:tcPr>
            <w:tcW w:type="dxa" w:w="3360"/>
            <w:vAlign w:val="top"/>
          </w:tcPr>
          <w:p>
            <w:r>
              <w:rPr>
                <w:sz w:val="17"/>
              </w:rPr>
            </w:r>
          </w:p>
        </w:tc>
      </w:tr>
      <w:tr>
        <w:tc>
          <w:tcPr>
            <w:tcW w:type="dxa" w:w="3360"/>
            <w:vAlign w:val="top"/>
            <w:shd w:fill="F2E8EB"/>
          </w:tcPr>
          <w:p>
            <w:r>
              <w:rPr>
                <w:sz w:val="17"/>
              </w:rPr>
              <w:t>Closure and learning</w:t>
            </w:r>
          </w:p>
        </w:tc>
        <w:tc>
          <w:tcPr>
            <w:tcW w:type="dxa" w:w="3360"/>
            <w:vAlign w:val="top"/>
          </w:tcPr>
          <w:p>
            <w:r>
              <w:rPr>
                <w:sz w:val="17"/>
              </w:rPr>
              <w:t>Record closure authority, evidence, affected records and people, residual risk, recurrence prevention, and portfolio implications.</w:t>
            </w:r>
          </w:p>
        </w:tc>
        <w:tc>
          <w:tcPr>
            <w:tcW w:type="dxa" w:w="3360"/>
            <w:vAlign w:val="top"/>
          </w:tcPr>
          <w:p>
            <w:r>
              <w:rPr>
                <w:sz w:val="17"/>
              </w:rPr>
            </w:r>
          </w:p>
        </w:tc>
      </w:tr>
    </w:tbl>
    <w:p>
      <w:r>
        <w:br w:type="page"/>
      </w:r>
    </w:p>
    <w:p>
      <w:pPr>
        <w:pStyle w:val="Heading1"/>
      </w:pPr>
      <w:r>
        <w:t>Worked synthetic example</w:t>
      </w:r>
    </w:p>
    <w:p>
      <w:r>
        <w:t>This example demonstrates completion logic only. It is not an empirical finding and should not be reused as institutional evidence.</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3360"/>
            <w:shd w:fill="52565A"/>
          </w:tcPr>
          <w:p>
            <w:r>
              <w:rPr>
                <w:b/>
                <w:color w:val="FFFFFF"/>
                <w:sz w:val="18"/>
              </w:rPr>
              <w:t>Field</w:t>
            </w:r>
          </w:p>
        </w:tc>
        <w:tc>
          <w:tcPr>
            <w:tcW w:type="dxa" w:w="3360"/>
            <w:shd w:fill="52565A"/>
          </w:tcPr>
          <w:p>
            <w:r>
              <w:rPr>
                <w:b/>
                <w:color w:val="FFFFFF"/>
                <w:sz w:val="18"/>
              </w:rPr>
              <w:t>Guidance</w:t>
            </w:r>
          </w:p>
        </w:tc>
        <w:tc>
          <w:tcPr>
            <w:tcW w:type="dxa" w:w="3360"/>
            <w:shd w:fill="52565A"/>
          </w:tcPr>
          <w:p>
            <w:r>
              <w:rPr>
                <w:b/>
                <w:color w:val="FFFFFF"/>
                <w:sz w:val="18"/>
              </w:rPr>
              <w:t>Institutional response</w:t>
            </w:r>
          </w:p>
        </w:tc>
      </w:tr>
      <w:tr>
        <w:tc>
          <w:tcPr>
            <w:tcW w:type="dxa" w:w="3360"/>
            <w:vAlign w:val="top"/>
            <w:shd w:fill="EFEFEF"/>
          </w:tcPr>
          <w:p>
            <w:r>
              <w:rPr>
                <w:sz w:val="17"/>
              </w:rPr>
              <w:t>Event, detection, and category</w:t>
            </w:r>
          </w:p>
        </w:tc>
        <w:tc>
          <w:tcPr>
            <w:tcW w:type="dxa" w:w="3360"/>
            <w:vAlign w:val="top"/>
          </w:tcPr>
          <w:p>
            <w:r>
              <w:rPr>
                <w:sz w:val="17"/>
              </w:rPr>
              <w:t>Describe the event or pattern, who detected it, and how it was classified.</w:t>
            </w:r>
          </w:p>
        </w:tc>
        <w:tc>
          <w:tcPr>
            <w:tcW w:type="dxa" w:w="3360"/>
            <w:vAlign w:val="top"/>
          </w:tcPr>
          <w:p>
            <w:r>
              <w:rPr>
                <w:sz w:val="17"/>
              </w:rPr>
              <w:t>Synthetic event: an interface delay produced stale scores; detected by the data-freshness monitor; technical and clinical categories.</w:t>
            </w:r>
          </w:p>
        </w:tc>
      </w:tr>
      <w:tr>
        <w:tc>
          <w:tcPr>
            <w:tcW w:type="dxa" w:w="3360"/>
            <w:vAlign w:val="top"/>
            <w:shd w:fill="EFEFEF"/>
          </w:tcPr>
          <w:p>
            <w:r>
              <w:rPr>
                <w:sz w:val="17"/>
              </w:rPr>
              <w:t>Data and provenance</w:t>
            </w:r>
          </w:p>
        </w:tc>
        <w:tc>
          <w:tcPr>
            <w:tcW w:type="dxa" w:w="3360"/>
            <w:vAlign w:val="top"/>
          </w:tcPr>
          <w:p>
            <w:r>
              <w:rPr>
                <w:sz w:val="17"/>
              </w:rPr>
              <w:t>Preserve available data, source, timestamp, transformation, missingness, quality state, and recent source changes.</w:t>
            </w:r>
          </w:p>
        </w:tc>
        <w:tc>
          <w:tcPr>
            <w:tcW w:type="dxa" w:w="3360"/>
            <w:vAlign w:val="top"/>
          </w:tcPr>
          <w:p>
            <w:r>
              <w:rPr>
                <w:sz w:val="17"/>
              </w:rPr>
              <w:t>Preserved source messages, timestamps, transformations, completeness state, and interface history.</w:t>
            </w:r>
          </w:p>
        </w:tc>
      </w:tr>
      <w:tr>
        <w:tc>
          <w:tcPr>
            <w:tcW w:type="dxa" w:w="3360"/>
            <w:vAlign w:val="top"/>
            <w:shd w:fill="EFEFEF"/>
          </w:tcPr>
          <w:p>
            <w:r>
              <w:rPr>
                <w:sz w:val="17"/>
              </w:rPr>
              <w:t>System and configuration</w:t>
            </w:r>
          </w:p>
        </w:tc>
        <w:tc>
          <w:tcPr>
            <w:tcW w:type="dxa" w:w="3360"/>
            <w:vAlign w:val="top"/>
          </w:tcPr>
          <w:p>
            <w:r>
              <w:rPr>
                <w:sz w:val="17"/>
              </w:rPr>
              <w:t>Record model, software, threshold, interface, prompt, template, retrieval, knowledge source, and hosting versions.</w:t>
            </w:r>
          </w:p>
        </w:tc>
        <w:tc>
          <w:tcPr>
            <w:tcW w:type="dxa" w:w="3360"/>
            <w:vAlign w:val="top"/>
          </w:tcPr>
          <w:p>
            <w:r>
              <w:rPr>
                <w:sz w:val="17"/>
              </w:rPr>
              <w:t>Model v2.1, threshold 0.18, interface build 4.3, hosted release 11.4.</w:t>
            </w:r>
          </w:p>
        </w:tc>
      </w:tr>
      <w:tr>
        <w:tc>
          <w:tcPr>
            <w:tcW w:type="dxa" w:w="3360"/>
            <w:vAlign w:val="top"/>
            <w:shd w:fill="EFEFEF"/>
          </w:tcPr>
          <w:p>
            <w:r>
              <w:rPr>
                <w:sz w:val="17"/>
              </w:rPr>
              <w:t>AI output and uncertainty</w:t>
            </w:r>
          </w:p>
        </w:tc>
        <w:tc>
          <w:tcPr>
            <w:tcW w:type="dxa" w:w="3360"/>
            <w:vAlign w:val="top"/>
          </w:tcPr>
          <w:p>
            <w:r>
              <w:rPr>
                <w:sz w:val="17"/>
              </w:rPr>
              <w:t>Preserve score, classification, recommendation, generated content, alert, action, explanation, and uncertainty.</w:t>
            </w:r>
          </w:p>
        </w:tc>
        <w:tc>
          <w:tcPr>
            <w:tcW w:type="dxa" w:w="3360"/>
            <w:vAlign w:val="top"/>
          </w:tcPr>
          <w:p>
            <w:r>
              <w:rPr>
                <w:sz w:val="17"/>
              </w:rPr>
              <w:t>Risk score 0.09 based on stale observations; freshness warning was not displayed.</w:t>
            </w:r>
          </w:p>
        </w:tc>
      </w:tr>
      <w:tr>
        <w:tc>
          <w:tcPr>
            <w:tcW w:type="dxa" w:w="3360"/>
            <w:vAlign w:val="top"/>
            <w:shd w:fill="EFEFEF"/>
          </w:tcPr>
          <w:p>
            <w:r>
              <w:rPr>
                <w:sz w:val="17"/>
              </w:rPr>
              <w:t>Human action and decision context</w:t>
            </w:r>
          </w:p>
        </w:tc>
        <w:tc>
          <w:tcPr>
            <w:tcW w:type="dxa" w:w="3360"/>
            <w:vAlign w:val="top"/>
          </w:tcPr>
          <w:p>
            <w:r>
              <w:rPr>
                <w:sz w:val="17"/>
              </w:rPr>
              <w:t>Record recipient, information available, accept, reject, modify, ignore, escalation, rationale, workload, staffing, patient condition, and capacity.</w:t>
            </w:r>
          </w:p>
        </w:tc>
        <w:tc>
          <w:tcPr>
            <w:tcW w:type="dxa" w:w="3360"/>
            <w:vAlign w:val="top"/>
          </w:tcPr>
          <w:p>
            <w:r>
              <w:rPr>
                <w:sz w:val="17"/>
              </w:rPr>
              <w:t>Clinician accepted the display during peak workload; deterioration identified 18 minutes later through usual care.</w:t>
            </w:r>
          </w:p>
        </w:tc>
      </w:tr>
      <w:tr>
        <w:tc>
          <w:tcPr>
            <w:tcW w:type="dxa" w:w="3360"/>
            <w:vAlign w:val="top"/>
            <w:shd w:fill="EFEFEF"/>
          </w:tcPr>
          <w:p>
            <w:r>
              <w:rPr>
                <w:sz w:val="17"/>
              </w:rPr>
              <w:t>Immediate response</w:t>
            </w:r>
          </w:p>
        </w:tc>
        <w:tc>
          <w:tcPr>
            <w:tcW w:type="dxa" w:w="3360"/>
            <w:vAlign w:val="top"/>
          </w:tcPr>
          <w:p>
            <w:r>
              <w:rPr>
                <w:sz w:val="17"/>
              </w:rPr>
              <w:t>Record patient and service protection, containment, notification, restriction, pause, rollback, and fallback.</w:t>
            </w:r>
          </w:p>
        </w:tc>
        <w:tc>
          <w:tcPr>
            <w:tcW w:type="dxa" w:w="3360"/>
            <w:vAlign w:val="top"/>
          </w:tcPr>
          <w:p>
            <w:r>
              <w:rPr>
                <w:sz w:val="17"/>
              </w:rPr>
              <w:t>Paused display, activated fallback, reviewed affected encounters, and notified safety and vendor teams.</w:t>
            </w:r>
          </w:p>
        </w:tc>
      </w:tr>
      <w:tr>
        <w:tc>
          <w:tcPr>
            <w:tcW w:type="dxa" w:w="3360"/>
            <w:vAlign w:val="top"/>
            <w:shd w:fill="EFEFEF"/>
          </w:tcPr>
          <w:p>
            <w:r>
              <w:rPr>
                <w:sz w:val="17"/>
              </w:rPr>
              <w:t>Causal analysis and residual uncertainty</w:t>
            </w:r>
          </w:p>
        </w:tc>
        <w:tc>
          <w:tcPr>
            <w:tcW w:type="dxa" w:w="3360"/>
            <w:vAlign w:val="top"/>
          </w:tcPr>
          <w:p>
            <w:r>
              <w:rPr>
                <w:sz w:val="17"/>
              </w:rPr>
              <w:t>Distinguish confirmed, contributing, and unresolved technical, clinical, workflow, organizational, and governance causes.</w:t>
            </w:r>
          </w:p>
        </w:tc>
        <w:tc>
          <w:tcPr>
            <w:tcW w:type="dxa" w:w="3360"/>
            <w:vAlign w:val="top"/>
          </w:tcPr>
          <w:p>
            <w:r>
              <w:rPr>
                <w:sz w:val="17"/>
              </w:rPr>
              <w:t>Confirmed interface-queue failure; contributing alert-design weakness; residual uncertainty about five encounters.</w:t>
            </w:r>
          </w:p>
        </w:tc>
      </w:tr>
      <w:tr>
        <w:tc>
          <w:tcPr>
            <w:tcW w:type="dxa" w:w="3360"/>
            <w:vAlign w:val="top"/>
            <w:shd w:fill="EFEFEF"/>
          </w:tcPr>
          <w:p>
            <w:r>
              <w:rPr>
                <w:sz w:val="17"/>
              </w:rPr>
              <w:t>Corrective and preventive action</w:t>
            </w:r>
          </w:p>
        </w:tc>
        <w:tc>
          <w:tcPr>
            <w:tcW w:type="dxa" w:w="3360"/>
            <w:vAlign w:val="top"/>
          </w:tcPr>
          <w:p>
            <w:r>
              <w:rPr>
                <w:sz w:val="17"/>
              </w:rPr>
              <w:t>Record action, owner, deadline, revalidation, communication, vendor or contract response, monitoring change, and effectiveness check.</w:t>
            </w:r>
          </w:p>
        </w:tc>
        <w:tc>
          <w:tcPr>
            <w:tcW w:type="dxa" w:w="3360"/>
            <w:vAlign w:val="top"/>
          </w:tcPr>
          <w:p>
            <w:r>
              <w:rPr>
                <w:sz w:val="17"/>
              </w:rPr>
              <w:t>Add freshness hard stop, queue monitoring, regression test, revalidation, and vendor corrective-action deadline.</w:t>
            </w:r>
          </w:p>
        </w:tc>
      </w:tr>
      <w:tr>
        <w:tc>
          <w:tcPr>
            <w:tcW w:type="dxa" w:w="3360"/>
            <w:vAlign w:val="top"/>
            <w:shd w:fill="EFEFEF"/>
          </w:tcPr>
          <w:p>
            <w:r>
              <w:rPr>
                <w:sz w:val="17"/>
              </w:rPr>
              <w:t>Closure and learning</w:t>
            </w:r>
          </w:p>
        </w:tc>
        <w:tc>
          <w:tcPr>
            <w:tcW w:type="dxa" w:w="3360"/>
            <w:vAlign w:val="top"/>
          </w:tcPr>
          <w:p>
            <w:r>
              <w:rPr>
                <w:sz w:val="17"/>
              </w:rPr>
              <w:t>Record closure authority, evidence, affected records and people, residual risk, recurrence prevention, and portfolio implications.</w:t>
            </w:r>
          </w:p>
        </w:tc>
        <w:tc>
          <w:tcPr>
            <w:tcW w:type="dxa" w:w="3360"/>
            <w:vAlign w:val="top"/>
          </w:tcPr>
          <w:p>
            <w:r>
              <w:rPr>
                <w:sz w:val="17"/>
              </w:rPr>
              <w:t>Closed after effectiveness testing; portfolio-wide interface freshness control adopted.</w:t>
            </w:r>
          </w:p>
        </w:tc>
      </w:tr>
    </w:tbl>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AIHE-D04 | V1.0 | Create a governed copy before use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AIHE-D04 template and worked example</dc:title>
  <dc:creator/>
  <ns0:lastModifiedBy/>
  <ns2:created xsi:type="dcterms:W3CDTF">2026-08-06T00:00:00Z</ns2:created>
  <ns2:modified xsi:type="dcterms:W3CDTF">2026-08-06T00:00:00Z</ns2:modified>
</ns0:coreProperties>
</file>