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/>
          <w:color w:val="1F4E79"/>
        </w:rPr>
        <w:t>AIHE-EX12 — Incident Corrective Action and Reconstruction Log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er"/>
      </w:pPr>
      <w:r>
        <w:rPr>
          <w:b/>
          <w:color w:val="2F5597"/>
        </w:rPr>
        <w:t>Blank institutional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Quality, Accreditation, and Organizational Learning; Chapter 10: Governance, Accountability, and Institutional Risk; Chapter 10: Governance, Accountability, and Institutional Risk;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er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Classify and reconstruct technical, clinical, workflow, privacy, cybersecurity, equity, and communication incidents.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pPr>
        <w:pStyle w:val="Heading1"/>
        <w:keepNext/>
      </w:pPr>
      <w:r>
        <w:t>How to use this resource</w:t>
      </w:r>
    </w:p>
    <w:p>
      <w:r>
        <w:t>A material incident is not closed merely because service resumes. Closure requires reconstruction, accountable corrective action, evidence of effectiveness, and explicit recording of residual uncertainty.</w:t>
      </w:r>
    </w:p>
    <w:p>
      <w:pPr>
        <w:pStyle w:val="Heading1"/>
        <w:keepNext/>
      </w:pPr>
      <w:r>
        <w:t>Incident reconstruction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53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required content</w:t>
            </w:r>
          </w:p>
        </w:tc>
        <w:tc>
          <w:tcPr>
            <w:tcW w:type="dxa" w:w="403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Identification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Categories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Affected scope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 and rationale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 and operational context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Cause and contributing factors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</w:t>
            </w:r>
          </w:p>
        </w:tc>
        <w:tc>
          <w:tcPr>
            <w:tcW w:type="dxa" w:w="453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403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Incident-category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72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51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Involvement</w:t>
            </w:r>
          </w:p>
        </w:tc>
        <w:tc>
          <w:tcPr>
            <w:tcW w:type="dxa" w:w="396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Owner and action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1512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96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088"/>
            <w:vAlign w:val="center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er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66666"/>
        <w:sz w:val="16"/>
      </w:rPr>
      <w:t>AI and Healthcare Economics Companion Resource | Version 6.0.0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AIHE-EX12 template</dc:title>
  <dc:creator/>
  <ns0:lastModifiedBy/>
  <ns2:created xsi:type="dcterms:W3CDTF">2026-08-06T00:00:00Z</ns2:created>
  <ns2:modified xsi:type="dcterms:W3CDTF">2026-08-06T00:00:00Z</ns2:modified>
</ns0:coreProperties>
</file>