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9"/>
        </w:rPr>
        <w:t>AIHE-EX12 — Incident Corrective Action and Reconstruction Log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er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Quality, Accreditation, and Organizational Learning; Chapter 10: Governance, Accountability, and Institutional Risk; Chapter 10: Governance, Accountability, and Institutional Risk;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Classify and reconstruct technical, clinical, workflow, privacy, cybersecurity, equity, and communication incidents.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A material incident is not closed merely because service resumes. Closure requires reconstruction, accountable corrective action, evidence of effectiveness, and explicit recording of residual uncertainty.</w:t>
      </w:r>
    </w:p>
    <w:p>
      <w:pPr>
        <w:pStyle w:val="Heading1"/>
        <w:keepNext/>
      </w:pPr>
      <w:r>
        <w:t>Incident reconstruction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required content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Identification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Incident ID, date/time, reporter, system, version, site, intended use.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INC-2026-014; ambient documentation v3.4; cardiology clinic.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Categories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Primary and secondary categories from the seven-category taxonomy.</w:t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Primary: communication; secondary: workflow.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Affected scope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Patients, staff, records, pathway, duration, and scale.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Seven draft notes; no signed record affected.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Source, time, transformations, missingness, quality, and changes.</w:t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Transcript segment duplicated after reconnect.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Model/software, thresholds, prompts, retrieval, interfaces, connected sources.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Model 3.4; prompt 11; no retrieval.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Score, recommendation, generated content, uncertainty, alert, or action.</w:t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Duplicated medication instruction in draft note.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 and rationale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Recipient, information, accept/reject/modify/ignore/escalate and rationale.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Clinician corrected before signing and reported pattern.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 and operational context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Workload, timing, staffing, patient condition, capacity, downtime, workarounds.</w:t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Network reconnect during high-volume clinic.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Protection, containment, restriction, rollback, notification, fallback.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Template disabled; manual documentation activated.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Cause and contributing factors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Technical, human, workflow, governance, vendor, communication causes and uncertainty.</w:t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Reconnect bug plus absent duplicate-content check.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Owner, remediation, revalidation, monitoring, training, contract action, deadline.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Vendor patch; duplicate detector; user notice; 30-day review.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Effectiveness evidence, affected records addressed, residual risk, authority, date.</w:t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 closure after 30 days with no recurrence.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Incident-category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Involvement</w:t>
            </w:r>
          </w:p>
        </w:tc>
        <w:tc>
          <w:tcPr>
            <w:tcW w:type="dxa" w:w="39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and action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Secondary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Reconnect duplication defect.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Vendor patch and local regression test.</w:t>
            </w:r>
          </w:p>
        </w:tc>
      </w:tr>
      <w:tr>
        <w:tc>
          <w:tcPr>
            <w:tcW w:type="dxa" w:w="172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15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Potential</w:t>
            </w:r>
          </w:p>
        </w:tc>
        <w:tc>
          <w:tcPr>
            <w:tcW w:type="dxa" w:w="39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 could cause harm if signed.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sampling.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Secondary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High-volume reconnect and review burden.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Revise downtime/reconnect workflow.</w:t>
            </w:r>
          </w:p>
        </w:tc>
      </w:tr>
      <w:tr>
        <w:tc>
          <w:tcPr>
            <w:tcW w:type="dxa" w:w="172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15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Not involved</w:t>
            </w:r>
          </w:p>
        </w:tc>
        <w:tc>
          <w:tcPr>
            <w:tcW w:type="dxa" w:w="39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unauthorized disclosure.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Document finding.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Not involved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malicious activity identified.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 sign-off.</w:t>
            </w:r>
          </w:p>
        </w:tc>
      </w:tr>
      <w:tr>
        <w:tc>
          <w:tcPr>
            <w:tcW w:type="dxa" w:w="172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15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Not established</w:t>
            </w:r>
          </w:p>
        </w:tc>
        <w:tc>
          <w:tcPr>
            <w:tcW w:type="dxa" w:w="39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subgroup pattern; sample small.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Monitor recurrence by service and language.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Primary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Generated instruction was inaccurate and repetitive.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Template control and clinician notification.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AI and Healthcare Economics Companion Resource | Version 6.0.0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AIHE-EX12 worked example</dc:title>
  <dc:creator/>
  <ns0:lastModifiedBy/>
  <ns2:created xsi:type="dcterms:W3CDTF">2026-08-06T00:00:00Z</ns2:created>
  <ns2:modified xsi:type="dcterms:W3CDTF">2026-08-06T00:00:00Z</ns2:modified>
</ns0:coreProperties>
</file>