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color w:val="1F4E79"/>
        </w:rPr>
        <w:t>AIHE-EX11 — Material Change and Renewal Review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pPr>
        <w:jc w:val="center"/>
      </w:pPr>
      <w:r>
        <w:rPr>
          <w:b/>
          <w:color w:val="2F5597"/>
        </w:rPr>
        <w:t>Synthetic worked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D — Procurement, Implementation, and Lifecycle Governance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9: Problem-First Procurement and Vendor Governance; Chapter 12: Decision Architecture and Lifecycle Governance; Chapter 12: Decision Architecture and Lifecycle Governance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08: 08_Monitoring_Lifecycle</w:t>
            </w:r>
          </w:p>
        </w:tc>
      </w:tr>
      <w:tr>
        <w:tc>
          <w:tcPr>
            <w:tcW w:type="dxa" w:w="52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Assess model, data, interface, workflow, vendor, contract, policy, performance, risk, and annual renewal changes.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r>
        <w:rPr>
          <w:b/>
        </w:rPr>
        <w:t xml:space="preserve">Worked-example status. </w:t>
      </w:r>
      <w:r>
        <w:t>All names, organizations, figures, findings, and decisions are fictional and are included only to demonstrate completion logic.</w:t>
      </w:r>
    </w:p>
    <w:p>
      <w:pPr>
        <w:pStyle w:val="Heading1"/>
        <w:keepNext/>
      </w:pPr>
      <w:r>
        <w:t>How to use this resource</w:t>
      </w:r>
    </w:p>
    <w:p>
      <w:r>
        <w:t>A material change is any change that may alter intended use, evidence applicability, performance, risk, workflow, economics, obligations, or the ability to monitor and stop. Renewal is an evidence-based lifecycle decision, not an automatic contract event.</w:t>
      </w:r>
    </w:p>
    <w:p>
      <w:pPr>
        <w:pStyle w:val="Heading1"/>
        <w:keepNext/>
      </w:pPr>
      <w:r>
        <w:t>Material-change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01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Change domain</w:t>
            </w:r>
          </w:p>
        </w:tc>
        <w:tc>
          <w:tcPr>
            <w:tcW w:type="dxa" w:w="273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Finding or description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evidence and assessment</w:t>
            </w:r>
          </w:p>
        </w:tc>
        <w:tc>
          <w:tcPr>
            <w:tcW w:type="dxa" w:w="16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Owner / due</w:t>
            </w:r>
          </w:p>
        </w:tc>
        <w:tc>
          <w:tcPr>
            <w:tcW w:type="dxa" w:w="122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Decision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Intended or excluded use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Vendor proposes automated follow-up suggestions.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New intended-use statement, clinical/economic analysis, human oversight, downstream-utilization plan.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sponsor / 30 days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Do not activate.</w:t>
            </w:r>
          </w:p>
        </w:tc>
      </w:tr>
      <w:tr>
        <w:tc>
          <w:tcPr>
            <w:tcW w:type="dxa" w:w="2016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Population, site, or users</w:t>
            </w:r>
          </w:p>
        </w:tc>
        <w:tc>
          <w:tcPr>
            <w:tcW w:type="dxa" w:w="27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Expansion from two clinics to all specialties.</w:t>
            </w:r>
          </w:p>
        </w:tc>
        <w:tc>
          <w:tcPr>
            <w:tcW w:type="dxa" w:w="37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Transportability, workflow, training, capacity, subgroup, and budget assessment.</w:t>
            </w:r>
          </w:p>
        </w:tc>
        <w:tc>
          <w:tcPr>
            <w:tcW w:type="dxa" w:w="16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Program lead / 45 days</w:t>
            </w:r>
          </w:p>
        </w:tc>
        <w:tc>
          <w:tcPr>
            <w:tcW w:type="dxa" w:w="122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Pilot selected sites.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Model, version, or threshold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Version 4.2 replaces 4.1.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Release evidence, local regression tests, calibration, safety, rollback.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Validation lead / 14 days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Conditional acceptance.</w:t>
            </w:r>
          </w:p>
        </w:tc>
      </w:tr>
      <w:tr>
        <w:tc>
          <w:tcPr>
            <w:tcW w:type="dxa" w:w="2016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Training, retrieval, or reference data</w:t>
            </w:r>
          </w:p>
        </w:tc>
        <w:tc>
          <w:tcPr>
            <w:tcW w:type="dxa" w:w="27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Knowledge base updated.</w:t>
            </w:r>
          </w:p>
        </w:tc>
        <w:tc>
          <w:tcPr>
            <w:tcW w:type="dxa" w:w="37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Provenance, scope, update date, conflict testing, red-team results.</w:t>
            </w:r>
          </w:p>
        </w:tc>
        <w:tc>
          <w:tcPr>
            <w:tcW w:type="dxa" w:w="16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Content owner / 14 days</w:t>
            </w:r>
          </w:p>
        </w:tc>
        <w:tc>
          <w:tcPr>
            <w:tcW w:type="dxa" w:w="122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Approve after testing.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Input, interface, coding, terminology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FHIR interface profile changes.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Mapping and conformance tests, data-quality and latency review.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 steward / 14 days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Remediate and repeat.</w:t>
            </w:r>
          </w:p>
        </w:tc>
      </w:tr>
      <w:tr>
        <w:tc>
          <w:tcPr>
            <w:tcW w:type="dxa" w:w="2016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Workflow, oversight, or capacity</w:t>
            </w:r>
          </w:p>
        </w:tc>
        <w:tc>
          <w:tcPr>
            <w:tcW w:type="dxa" w:w="27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Review moves from physician to nurse.</w:t>
            </w:r>
          </w:p>
        </w:tc>
        <w:tc>
          <w:tcPr>
            <w:tcW w:type="dxa" w:w="37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Role, competency, authority, burden, escalation, safety, equity.</w:t>
            </w:r>
          </w:p>
        </w:tc>
        <w:tc>
          <w:tcPr>
            <w:tcW w:type="dxa" w:w="16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Service lead / 30 days</w:t>
            </w:r>
          </w:p>
        </w:tc>
        <w:tc>
          <w:tcPr>
            <w:tcW w:type="dxa" w:w="122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Redesign.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Vendor, subcontractor, hosting, or security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New model hosting subcontractor.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Security, location, data flow, contract, incident, continuity review.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Security/contract / 30 days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 transfer before approval.</w:t>
            </w:r>
          </w:p>
        </w:tc>
      </w:tr>
      <w:tr>
        <w:tc>
          <w:tcPr>
            <w:tcW w:type="dxa" w:w="2016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Pricing, support, or service level</w:t>
            </w:r>
          </w:p>
        </w:tc>
        <w:tc>
          <w:tcPr>
            <w:tcW w:type="dxa" w:w="27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Variable fee increases 8%.</w:t>
            </w:r>
          </w:p>
        </w:tc>
        <w:tc>
          <w:tcPr>
            <w:tcW w:type="dxa" w:w="37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Volume scenarios, cap, benefit realization, alternatives, negotiation.</w:t>
            </w:r>
          </w:p>
        </w:tc>
        <w:tc>
          <w:tcPr>
            <w:tcW w:type="dxa" w:w="16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Procurement / renewal</w:t>
            </w:r>
          </w:p>
        </w:tc>
        <w:tc>
          <w:tcPr>
            <w:tcW w:type="dxa" w:w="122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Renegotiate.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Law, standard, or policy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New local AI policy takes effect.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Gap analysis, impact, remediation, evidence and approval.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Governance / 60 days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Conditional continuation.</w:t>
            </w:r>
          </w:p>
        </w:tc>
      </w:tr>
      <w:tr>
        <w:tc>
          <w:tcPr>
            <w:tcW w:type="dxa" w:w="2016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Observed performance, equity, safety, or value</w:t>
            </w:r>
          </w:p>
        </w:tc>
        <w:tc>
          <w:tcPr>
            <w:tcW w:type="dxa" w:w="273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Correction time exceeds expected value.</w:t>
            </w:r>
          </w:p>
        </w:tc>
        <w:tc>
          <w:tcPr>
            <w:tcW w:type="dxa" w:w="374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Root-cause analysis, threshold, workflow, cost, benefit, restriction options.</w:t>
            </w:r>
          </w:p>
        </w:tc>
        <w:tc>
          <w:tcPr>
            <w:tcW w:type="dxa" w:w="16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Service/finance / 30 days</w:t>
            </w:r>
          </w:p>
        </w:tc>
        <w:tc>
          <w:tcPr>
            <w:tcW w:type="dxa" w:w="122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Restrict pending action.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Annual renewal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32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Review element</w:t>
            </w:r>
          </w:p>
        </w:tc>
        <w:tc>
          <w:tcPr>
            <w:tcW w:type="dxa" w:w="75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Required record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Current scope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Intended use, excluded uses, version, population, sites, users, and accountable owner.</w:t>
            </w:r>
          </w:p>
        </w:tc>
      </w:tr>
      <w:tr>
        <w:tc>
          <w:tcPr>
            <w:tcW w:type="dxa" w:w="324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Accumulated evidence</w:t>
            </w:r>
          </w:p>
        </w:tc>
        <w:tc>
          <w:tcPr>
            <w:tcW w:type="dxa" w:w="756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External updates, local validation, real-world performance, incidents, human factors, subgroups.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Realized value and burden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Benefits, workload, lifecycle cost, budget, downstream utilization, environmental and public value.</w:t>
            </w:r>
          </w:p>
        </w:tc>
      </w:tr>
      <w:tr>
        <w:tc>
          <w:tcPr>
            <w:tcW w:type="dxa" w:w="324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Residual risk</w:t>
            </w:r>
          </w:p>
        </w:tc>
        <w:tc>
          <w:tcPr>
            <w:tcW w:type="dxa" w:w="756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Open incidents, uncertainty, privacy, cybersecurity, equity, communication, continuity.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Regulatory and standards alignment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Applicable law, policy, standards, management-system and assurance changes.</w:t>
            </w:r>
          </w:p>
        </w:tc>
      </w:tr>
      <w:tr>
        <w:tc>
          <w:tcPr>
            <w:tcW w:type="dxa" w:w="324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Vendor and contract</w:t>
            </w:r>
          </w:p>
        </w:tc>
        <w:tc>
          <w:tcPr>
            <w:tcW w:type="dxa" w:w="756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Service levels, updates, audit, support, pricing, subcontractors, data rights, exit.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Monitoring and fallback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 access, metrics, thresholds, owners, fallback, pause, rollback, de-adoption readiness.</w:t>
            </w:r>
          </w:p>
        </w:tc>
      </w:tr>
      <w:tr>
        <w:tc>
          <w:tcPr>
            <w:tcW w:type="dxa" w:w="324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Alternatives and opportunity cost</w:t>
            </w:r>
          </w:p>
        </w:tc>
        <w:tc>
          <w:tcPr>
            <w:tcW w:type="dxa" w:w="756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Current comparators, internal build, other vendor, process redesign, staffing, retirement.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Renewal decision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Renew, renew with conditions, renegotiate, restrict, replace, or retire.</w:t>
            </w:r>
          </w:p>
        </w:tc>
      </w:tr>
      <w:tr>
        <w:tc>
          <w:tcPr>
            <w:tcW w:type="dxa" w:w="3240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Authority and next review</w:t>
            </w:r>
          </w:p>
        </w:tc>
        <w:tc>
          <w:tcPr>
            <w:tcW w:type="dxa" w:w="7560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Decision authority, dissent, conditions, owners, dates, trigger events.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with conditions</w:t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Passed with two conditions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 subgroup sample remains small</w:t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safety lead—complete 90-day review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Governance Committee; 30 July 2026</w:t>
            </w:r>
          </w:p>
        </w:tc>
      </w:tr>
      <w:tr>
        <w:tc>
          <w:tcPr>
            <w:tcW w:type="dxa" w:w="2088"/>
            <w:vAlign w:val="center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er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Monthly during pilot; immediate review after material update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AI and Healthcare Economics Companion Resource | Version 6.0.0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AIHE-EX11 worked example</dc:title>
  <dc:creator/>
  <ns0:lastModifiedBy/>
  <ns2:created xsi:type="dcterms:W3CDTF">2026-08-06T00:00:00Z</ns2:created>
  <ns2:modified xsi:type="dcterms:W3CDTF">2026-08-06T00:00:00Z</ns2:modified>
</ns0:coreProperties>
</file>