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Asset-Life Decision Record</w:t>
      </w:r>
    </w:p>
    <w:p>
      <w:pPr>
        <w:jc w:val="center"/>
      </w:pPr>
      <w:r>
        <w:rPr>
          <w:b/>
          <w:color w:val="7A2334"/>
        </w:rPr>
        <w:t>AIHE-E03</w:t>
      </w:r>
    </w:p>
    <w:p>
      <w:pPr>
        <w:spacing w:after="40"/>
      </w:pPr>
      <w:r>
        <w:rPr>
          <w:b/>
        </w:rPr>
        <w:t xml:space="preserve">Primary chapter: </w:t>
      </w:r>
      <w:r>
        <w:t>14 — Circular Procurement and Asset Stewardship</w:t>
      </w:r>
    </w:p>
    <w:p>
      <w:pPr>
        <w:spacing w:after="40"/>
      </w:pPr>
      <w:r>
        <w:rPr>
          <w:b/>
        </w:rPr>
        <w:t xml:space="preserve">Additional chapter alignment: </w:t>
      </w:r>
      <w:r>
        <w:t>6, 14, 15</w:t>
      </w:r>
    </w:p>
    <w:p>
      <w:pPr>
        <w:spacing w:after="40"/>
      </w:pPr>
      <w:r>
        <w:rPr>
          <w:b/>
        </w:rPr>
        <w:t xml:space="preserve">Legacy aliases: </w:t>
      </w:r>
      <w:r>
        <w:t>AIHE-CE3</w:t>
      </w:r>
    </w:p>
    <w:p>
      <w:pPr>
        <w:spacing w:after="40"/>
      </w:pPr>
      <w:r>
        <w:rPr>
          <w:b/>
        </w:rPr>
        <w:t xml:space="preserve">Version: </w:t>
      </w:r>
      <w:r>
        <w:t>V1.0</w:t>
      </w:r>
    </w:p>
    <w:p>
      <w:pPr>
        <w:pStyle w:val="Heading1"/>
      </w:pPr>
      <w:r>
        <w:t>Purpose</w:t>
      </w:r>
    </w:p>
    <w:p>
      <w:r>
        <w:t>Compare maintain, refurbish, replace, and shared-service options across suitability, life, cost, resources, resilience, and disposition.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Decision factor</w:t>
            </w:r>
          </w:p>
        </w:tc>
        <w:tc>
          <w:tcPr>
            <w:tcW w:type="dxa" w:w="2542"/>
            <w:shd w:fill="7A2334"/>
          </w:tcPr>
          <w:p>
            <w:r>
              <w:rPr>
                <w:b/>
                <w:color w:val="FFFFFF"/>
                <w:sz w:val="15"/>
              </w:rPr>
              <w:t>Maintain or repair</w:t>
            </w:r>
          </w:p>
        </w:tc>
        <w:tc>
          <w:tcPr>
            <w:tcW w:type="dxa" w:w="2542"/>
            <w:shd w:fill="7A2334"/>
          </w:tcPr>
          <w:p>
            <w:r>
              <w:rPr>
                <w:b/>
                <w:color w:val="FFFFFF"/>
                <w:sz w:val="15"/>
              </w:rPr>
              <w:t>Refurbish or remanufacture</w:t>
            </w:r>
          </w:p>
        </w:tc>
        <w:tc>
          <w:tcPr>
            <w:tcW w:type="dxa" w:w="2542"/>
            <w:shd w:fill="7A2334"/>
          </w:tcPr>
          <w:p>
            <w:r>
              <w:rPr>
                <w:b/>
                <w:color w:val="FFFFFF"/>
                <w:sz w:val="15"/>
              </w:rPr>
              <w:t>Replace</w:t>
            </w:r>
          </w:p>
        </w:tc>
        <w:tc>
          <w:tcPr>
            <w:tcW w:type="dxa" w:w="2542"/>
            <w:shd w:fill="7A2334"/>
          </w:tcPr>
          <w:p>
            <w:r>
              <w:rPr>
                <w:b/>
                <w:color w:val="FFFFFF"/>
                <w:sz w:val="15"/>
              </w:rPr>
              <w:t>Shared service</w:t>
            </w:r>
          </w:p>
        </w:tc>
        <w:tc>
          <w:tcPr>
            <w:tcW w:type="dxa" w:w="2542"/>
            <w:shd w:fill="7A2334"/>
          </w:tcPr>
          <w:p>
            <w:r>
              <w:rPr>
                <w:b/>
                <w:color w:val="FFFFFF"/>
                <w:sz w:val="15"/>
              </w:rPr>
              <w:t>Evidence, uncertainty, and decision</w:t>
            </w:r>
          </w:p>
        </w:tc>
      </w:tr>
      <w:tr>
        <w:tc>
          <w:tcPr>
            <w:tcW w:type="dxa" w:w="2542"/>
            <w:vAlign w:val="top"/>
            <w:shd w:fill="F2E8EB"/>
          </w:tcPr>
          <w:p>
            <w:r>
              <w:rPr>
                <w:sz w:val="14"/>
              </w:rPr>
              <w:t>Clinical and technical suitability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Remaining useful life and reliability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Validation and regulatory burden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Lifecycle cost and price exposure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Energy, water, material, and waste effects</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Software, cybersecurity, and interoperability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Workforce, workflow, downtime, and transition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Resilience, dependency, and exit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Residual value and final disposition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Decision factor</w:t>
            </w:r>
          </w:p>
        </w:tc>
        <w:tc>
          <w:tcPr>
            <w:tcW w:type="dxa" w:w="2542"/>
            <w:shd w:fill="52565A"/>
          </w:tcPr>
          <w:p>
            <w:r>
              <w:rPr>
                <w:b/>
                <w:color w:val="FFFFFF"/>
                <w:sz w:val="15"/>
              </w:rPr>
              <w:t>Maintain or repair</w:t>
            </w:r>
          </w:p>
        </w:tc>
        <w:tc>
          <w:tcPr>
            <w:tcW w:type="dxa" w:w="2542"/>
            <w:shd w:fill="52565A"/>
          </w:tcPr>
          <w:p>
            <w:r>
              <w:rPr>
                <w:b/>
                <w:color w:val="FFFFFF"/>
                <w:sz w:val="15"/>
              </w:rPr>
              <w:t>Refurbish or remanufacture</w:t>
            </w:r>
          </w:p>
        </w:tc>
        <w:tc>
          <w:tcPr>
            <w:tcW w:type="dxa" w:w="2542"/>
            <w:shd w:fill="52565A"/>
          </w:tcPr>
          <w:p>
            <w:r>
              <w:rPr>
                <w:b/>
                <w:color w:val="FFFFFF"/>
                <w:sz w:val="15"/>
              </w:rPr>
              <w:t>Replace</w:t>
            </w:r>
          </w:p>
        </w:tc>
        <w:tc>
          <w:tcPr>
            <w:tcW w:type="dxa" w:w="2542"/>
            <w:shd w:fill="52565A"/>
          </w:tcPr>
          <w:p>
            <w:r>
              <w:rPr>
                <w:b/>
                <w:color w:val="FFFFFF"/>
                <w:sz w:val="15"/>
              </w:rPr>
              <w:t>Shared service</w:t>
            </w:r>
          </w:p>
        </w:tc>
        <w:tc>
          <w:tcPr>
            <w:tcW w:type="dxa" w:w="2542"/>
            <w:shd w:fill="52565A"/>
          </w:tcPr>
          <w:p>
            <w:r>
              <w:rPr>
                <w:b/>
                <w:color w:val="FFFFFF"/>
                <w:sz w:val="15"/>
              </w:rPr>
              <w:t>Evidence, uncertainty, and decision</w:t>
            </w:r>
          </w:p>
        </w:tc>
      </w:tr>
      <w:tr>
        <w:tc>
          <w:tcPr>
            <w:tcW w:type="dxa" w:w="2542"/>
            <w:vAlign w:val="top"/>
            <w:shd w:fill="EFEFEF"/>
          </w:tcPr>
          <w:p>
            <w:r>
              <w:rPr>
                <w:sz w:val="14"/>
              </w:rPr>
              <w:t>Clinical and technical suitability</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example for Clinical and technical suitability;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Remaining useful life and reliability</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example for Remaining useful life and reliability;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Validation and regulatory burden</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example for Validation and regulatory burden;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Lifecycle cost and price exposure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example for Lifecycle cost and price exposure;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Energy, water, material, and waste effects</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example for Energy, water, material, and waste effects;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Software, cybersecurity, and interoperability</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example for Software, cybersecurity, and interoperability;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Workforce, workflow, downtime, and transition</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example for Workforce, workflow, downtime, and transition;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Resilience, dependency, and exit</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example for Resilience, dependency, and exit; replace with local evidence.</w:t>
            </w:r>
          </w:p>
        </w:tc>
        <w:tc>
          <w:tcPr>
            <w:tcW w:type="dxa" w:w="2542"/>
            <w:vAlign w:val="top"/>
          </w:tcPr>
          <w:p>
            <w:r>
              <w:rPr>
                <w:sz w:val="14"/>
              </w:rPr>
              <w:t>Synthetic local baseline report; controlled dataset v1.2; evidence cut-off 2026-01-31.</w:t>
            </w:r>
          </w:p>
        </w:tc>
      </w:tr>
      <w:tr>
        <w:tc>
          <w:tcPr>
            <w:tcW w:type="dxa" w:w="2542"/>
            <w:vAlign w:val="top"/>
            <w:shd w:fill="EFEFEF"/>
          </w:tcPr>
          <w:p>
            <w:r>
              <w:rPr>
                <w:sz w:val="14"/>
              </w:rPr>
              <w:t>Residual value and final disposition</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example for Residual value and final disposition; replace with local evidence.</w:t>
            </w:r>
          </w:p>
        </w:tc>
        <w:tc>
          <w:tcPr>
            <w:tcW w:type="dxa" w:w="2542"/>
            <w:vAlign w:val="top"/>
          </w:tcPr>
          <w:p>
            <w:r>
              <w:rPr>
                <w:sz w:val="14"/>
              </w:rPr>
              <w:t>Synthetic local baseline report; controlled dataset v1.2; evidence cut-off 2026-01-31.</w:t>
            </w:r>
          </w:p>
        </w:tc>
      </w:tr>
    </w:tbl>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AIHE-E03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AIHE-E03 template and worked example</dc:title>
  <dc:creator/>
  <ns0:lastModifiedBy/>
  <ns2:created xsi:type="dcterms:W3CDTF">2026-08-06T00:00:00Z</ns2:created>
  <ns2:modified xsi:type="dcterms:W3CDTF">2026-08-06T00:00:00Z</ns2:modified>
</ns0:coreProperties>
</file>