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Environmental, Circularity, and Disposition Dashboard</w:t>
      </w:r>
    </w:p>
    <w:p>
      <w:pPr>
        <w:jc w:val="center"/>
      </w:pPr>
      <w:r>
        <w:rPr>
          <w:b/>
          <w:color w:val="7A2334"/>
        </w:rPr>
        <w:t>AIHE-E05</w:t>
      </w:r>
    </w:p>
    <w:p>
      <w:pPr>
        <w:spacing w:after="40"/>
      </w:pPr>
      <w:r>
        <w:rPr>
          <w:b/>
        </w:rPr>
        <w:t xml:space="preserve">Primary chapter: </w:t>
      </w:r>
      <w:r>
        <w:t>15 — Circularity-Adjusted Evaluation and Sustainable Value</w:t>
      </w:r>
    </w:p>
    <w:p>
      <w:pPr>
        <w:spacing w:after="40"/>
      </w:pPr>
      <w:r>
        <w:rPr>
          <w:b/>
        </w:rPr>
        <w:t xml:space="preserve">Additional chapter alignment: </w:t>
      </w:r>
      <w:r>
        <w:t>13, 14, 15</w:t>
      </w:r>
    </w:p>
    <w:p>
      <w:pPr>
        <w:spacing w:after="40"/>
      </w:pPr>
      <w:r>
        <w:rPr>
          <w:b/>
        </w:rPr>
        <w:t xml:space="preserve">Legacy aliases: </w:t>
      </w:r>
      <w:r>
        <w:t>AIHE-CE4, AIHE-CE5, AIHE-CE7</w:t>
      </w:r>
    </w:p>
    <w:p>
      <w:pPr>
        <w:spacing w:after="40"/>
      </w:pPr>
      <w:r>
        <w:rPr>
          <w:b/>
        </w:rPr>
        <w:t xml:space="preserve">Version: </w:t>
      </w:r>
      <w:r>
        <w:t>V1.0</w:t>
      </w:r>
    </w:p>
    <w:p>
      <w:pPr>
        <w:pStyle w:val="Heading1"/>
      </w:pPr>
      <w:r>
        <w:t>Purpose</w:t>
      </w:r>
    </w:p>
    <w:p>
      <w:r>
        <w:t>Monitor acquisition, utilization, asset life, resource intensity, materials, take-back, recovery, rebound, resilience, and disposition.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7A2334"/>
          </w:tcPr>
          <w:p>
            <w:r>
              <w:rPr>
                <w:b/>
                <w:color w:val="FFFFFF"/>
                <w:sz w:val="18"/>
              </w:rPr>
              <w:t>Domain</w:t>
            </w:r>
          </w:p>
        </w:tc>
        <w:tc>
          <w:tcPr>
            <w:tcW w:type="dxa" w:w="2016"/>
            <w:shd w:fill="7A2334"/>
          </w:tcPr>
          <w:p>
            <w:r>
              <w:rPr>
                <w:b/>
                <w:color w:val="FFFFFF"/>
                <w:sz w:val="18"/>
              </w:rPr>
              <w:t>Indicator and functional unit</w:t>
            </w:r>
          </w:p>
        </w:tc>
        <w:tc>
          <w:tcPr>
            <w:tcW w:type="dxa" w:w="2016"/>
            <w:shd w:fill="7A2334"/>
          </w:tcPr>
          <w:p>
            <w:r>
              <w:rPr>
                <w:b/>
                <w:color w:val="FFFFFF"/>
                <w:sz w:val="18"/>
              </w:rPr>
              <w:t>Baseline and current</w:t>
            </w:r>
          </w:p>
        </w:tc>
        <w:tc>
          <w:tcPr>
            <w:tcW w:type="dxa" w:w="2016"/>
            <w:shd w:fill="7A2334"/>
          </w:tcPr>
          <w:p>
            <w:r>
              <w:rPr>
                <w:b/>
                <w:color w:val="FFFFFF"/>
                <w:sz w:val="18"/>
              </w:rPr>
              <w:t>Threshold and owner</w:t>
            </w:r>
          </w:p>
        </w:tc>
        <w:tc>
          <w:tcPr>
            <w:tcW w:type="dxa" w:w="2016"/>
            <w:shd w:fill="7A2334"/>
          </w:tcPr>
          <w:p>
            <w:r>
              <w:rPr>
                <w:b/>
                <w:color w:val="FFFFFF"/>
                <w:sz w:val="18"/>
              </w:rPr>
              <w:t>Balancing risk, action, and annual conclusion</w:t>
            </w:r>
          </w:p>
        </w:tc>
      </w:tr>
      <w:tr>
        <w:tc>
          <w:tcPr>
            <w:tcW w:type="dxa" w:w="2016"/>
            <w:vAlign w:val="top"/>
            <w:shd w:fill="F2E8EB"/>
          </w:tcPr>
          <w:p>
            <w:r>
              <w:rPr>
                <w:sz w:val="17"/>
              </w:rPr>
              <w:t>Avoided or deferred acquisition</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Utilization, sharing, and useful life</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Maintenance, repair, refurbishment, and redeployment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Energy, water, carbon, and data-storage intensity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Virgin, recovered, and critical material use</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Verified take-back, recovery, and unverified disposition</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Residual value and recovery cost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Rebound, safety, equity, resilience, and continuity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52565A"/>
          </w:tcPr>
          <w:p>
            <w:r>
              <w:rPr>
                <w:b/>
                <w:color w:val="FFFFFF"/>
                <w:sz w:val="18"/>
              </w:rPr>
              <w:t>Domain</w:t>
            </w:r>
          </w:p>
        </w:tc>
        <w:tc>
          <w:tcPr>
            <w:tcW w:type="dxa" w:w="2016"/>
            <w:shd w:fill="52565A"/>
          </w:tcPr>
          <w:p>
            <w:r>
              <w:rPr>
                <w:b/>
                <w:color w:val="FFFFFF"/>
                <w:sz w:val="18"/>
              </w:rPr>
              <w:t>Indicator and functional unit</w:t>
            </w:r>
          </w:p>
        </w:tc>
        <w:tc>
          <w:tcPr>
            <w:tcW w:type="dxa" w:w="2016"/>
            <w:shd w:fill="52565A"/>
          </w:tcPr>
          <w:p>
            <w:r>
              <w:rPr>
                <w:b/>
                <w:color w:val="FFFFFF"/>
                <w:sz w:val="18"/>
              </w:rPr>
              <w:t>Baseline and current</w:t>
            </w:r>
          </w:p>
        </w:tc>
        <w:tc>
          <w:tcPr>
            <w:tcW w:type="dxa" w:w="2016"/>
            <w:shd w:fill="52565A"/>
          </w:tcPr>
          <w:p>
            <w:r>
              <w:rPr>
                <w:b/>
                <w:color w:val="FFFFFF"/>
                <w:sz w:val="18"/>
              </w:rPr>
              <w:t>Threshold and owner</w:t>
            </w:r>
          </w:p>
        </w:tc>
        <w:tc>
          <w:tcPr>
            <w:tcW w:type="dxa" w:w="2016"/>
            <w:shd w:fill="52565A"/>
          </w:tcPr>
          <w:p>
            <w:r>
              <w:rPr>
                <w:b/>
                <w:color w:val="FFFFFF"/>
                <w:sz w:val="18"/>
              </w:rPr>
              <w:t>Balancing risk, action, and annual conclusion</w:t>
            </w:r>
          </w:p>
        </w:tc>
      </w:tr>
      <w:tr>
        <w:tc>
          <w:tcPr>
            <w:tcW w:type="dxa" w:w="2016"/>
            <w:vAlign w:val="top"/>
            <w:shd w:fill="EFEFEF"/>
          </w:tcPr>
          <w:p>
            <w:r>
              <w:rPr>
                <w:sz w:val="17"/>
              </w:rPr>
              <w:t>Avoided or deferred acquisition</w:t>
            </w:r>
          </w:p>
        </w:tc>
        <w:tc>
          <w:tcPr>
            <w:tcW w:type="dxa" w:w="2016"/>
            <w:vAlign w:val="top"/>
          </w:tcPr>
          <w:p>
            <w:r>
              <w:rPr>
                <w:sz w:val="17"/>
              </w:rPr>
              <w:t>Avoided or deferred acquisition: monthly rate per 1,000 eligible encounters.</w:t>
            </w:r>
          </w:p>
        </w:tc>
        <w:tc>
          <w:tcPr>
            <w:tcW w:type="dxa" w:w="2016"/>
            <w:vAlign w:val="top"/>
          </w:tcPr>
          <w:p>
            <w:r>
              <w:rPr>
                <w:sz w:val="17"/>
              </w:rPr>
              <w:t>Baseline 42; current 31 (synthetic units).</w:t>
            </w:r>
          </w:p>
        </w:tc>
        <w:tc>
          <w:tcPr>
            <w:tcW w:type="dxa" w:w="2016"/>
            <w:vAlign w:val="top"/>
          </w:tcPr>
          <w:p>
            <w:r>
              <w:rPr>
                <w:sz w:val="17"/>
              </w:rPr>
              <w:t>Clinical service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Utilization, sharing, and useful life</w:t>
            </w:r>
          </w:p>
        </w:tc>
        <w:tc>
          <w:tcPr>
            <w:tcW w:type="dxa" w:w="2016"/>
            <w:vAlign w:val="top"/>
          </w:tcPr>
          <w:p>
            <w:r>
              <w:rPr>
                <w:sz w:val="17"/>
              </w:rPr>
              <w:t>Utilization, sharing, and useful life: monthly rate per 1,000 eligible encounters.</w:t>
            </w:r>
          </w:p>
        </w:tc>
        <w:tc>
          <w:tcPr>
            <w:tcW w:type="dxa" w:w="2016"/>
            <w:vAlign w:val="top"/>
          </w:tcPr>
          <w:p>
            <w:r>
              <w:rPr>
                <w:sz w:val="17"/>
              </w:rPr>
              <w:t>Baseline 42; current 31 (synthetic units).</w:t>
            </w:r>
          </w:p>
        </w:tc>
        <w:tc>
          <w:tcPr>
            <w:tcW w:type="dxa" w:w="2016"/>
            <w:vAlign w:val="top"/>
          </w:tcPr>
          <w:p>
            <w:r>
              <w:rPr>
                <w:sz w:val="17"/>
              </w:rPr>
              <w:t>Quality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Maintenance, repair, refurbishment, and redeployment</w:t>
            </w:r>
          </w:p>
        </w:tc>
        <w:tc>
          <w:tcPr>
            <w:tcW w:type="dxa" w:w="2016"/>
            <w:vAlign w:val="top"/>
          </w:tcPr>
          <w:p>
            <w:r>
              <w:rPr>
                <w:sz w:val="17"/>
              </w:rPr>
              <w:t>Maintenance, repair, refurbishment, and redeployment: monthly rate per 1,000 eligible encounters.</w:t>
            </w:r>
          </w:p>
        </w:tc>
        <w:tc>
          <w:tcPr>
            <w:tcW w:type="dxa" w:w="2016"/>
            <w:vAlign w:val="top"/>
          </w:tcPr>
          <w:p>
            <w:r>
              <w:rPr>
                <w:sz w:val="17"/>
              </w:rPr>
              <w:t>Baseline 42; current 31 (synthetic units).</w:t>
            </w:r>
          </w:p>
        </w:tc>
        <w:tc>
          <w:tcPr>
            <w:tcW w:type="dxa" w:w="2016"/>
            <w:vAlign w:val="top"/>
          </w:tcPr>
          <w:p>
            <w:r>
              <w:rPr>
                <w:sz w:val="17"/>
              </w:rPr>
              <w:t>Data steward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Energy, water, carbon, and data-storage intensity</w:t>
            </w:r>
          </w:p>
        </w:tc>
        <w:tc>
          <w:tcPr>
            <w:tcW w:type="dxa" w:w="2016"/>
            <w:vAlign w:val="top"/>
          </w:tcPr>
          <w:p>
            <w:r>
              <w:rPr>
                <w:sz w:val="17"/>
              </w:rPr>
              <w:t>Energy, water, carbon, and data-storage intensity: monthly rate per 1,000 eligible encounters.</w:t>
            </w:r>
          </w:p>
        </w:tc>
        <w:tc>
          <w:tcPr>
            <w:tcW w:type="dxa" w:w="2016"/>
            <w:vAlign w:val="top"/>
          </w:tcPr>
          <w:p>
            <w:r>
              <w:rPr>
                <w:sz w:val="17"/>
              </w:rPr>
              <w:t>Baseline 42; current 31 (synthetic units).</w:t>
            </w:r>
          </w:p>
        </w:tc>
        <w:tc>
          <w:tcPr>
            <w:tcW w:type="dxa" w:w="2016"/>
            <w:vAlign w:val="top"/>
          </w:tcPr>
          <w:p>
            <w:r>
              <w:rPr>
                <w:sz w:val="17"/>
              </w:rPr>
              <w:t>Health economist</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Virgin, recovered, and critical material use</w:t>
            </w:r>
          </w:p>
        </w:tc>
        <w:tc>
          <w:tcPr>
            <w:tcW w:type="dxa" w:w="2016"/>
            <w:vAlign w:val="top"/>
          </w:tcPr>
          <w:p>
            <w:r>
              <w:rPr>
                <w:sz w:val="17"/>
              </w:rPr>
              <w:t>Virgin, recovered, and critical material use: monthly rate per 1,000 eligible encounters.</w:t>
            </w:r>
          </w:p>
        </w:tc>
        <w:tc>
          <w:tcPr>
            <w:tcW w:type="dxa" w:w="2016"/>
            <w:vAlign w:val="top"/>
          </w:tcPr>
          <w:p>
            <w:r>
              <w:rPr>
                <w:sz w:val="17"/>
              </w:rPr>
              <w:t>Baseline 42; current 31 (synthetic units).</w:t>
            </w:r>
          </w:p>
        </w:tc>
        <w:tc>
          <w:tcPr>
            <w:tcW w:type="dxa" w:w="2016"/>
            <w:vAlign w:val="top"/>
          </w:tcPr>
          <w:p>
            <w:r>
              <w:rPr>
                <w:sz w:val="17"/>
              </w:rPr>
              <w:t>Procurement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Verified take-back, recovery, and unverified disposition</w:t>
            </w:r>
          </w:p>
        </w:tc>
        <w:tc>
          <w:tcPr>
            <w:tcW w:type="dxa" w:w="2016"/>
            <w:vAlign w:val="top"/>
          </w:tcPr>
          <w:p>
            <w:r>
              <w:rPr>
                <w:sz w:val="17"/>
              </w:rPr>
              <w:t>Verified take-back, recovery, and unverified disposition: monthly rate per 1,000 eligible encounters.</w:t>
            </w:r>
          </w:p>
        </w:tc>
        <w:tc>
          <w:tcPr>
            <w:tcW w:type="dxa" w:w="2016"/>
            <w:vAlign w:val="top"/>
          </w:tcPr>
          <w:p>
            <w:r>
              <w:rPr>
                <w:sz w:val="17"/>
              </w:rPr>
              <w:t>Baseline 42; current 31 (synthetic units).</w:t>
            </w:r>
          </w:p>
        </w:tc>
        <w:tc>
          <w:tcPr>
            <w:tcW w:type="dxa" w:w="2016"/>
            <w:vAlign w:val="top"/>
          </w:tcPr>
          <w:p>
            <w:r>
              <w:rPr>
                <w:sz w:val="17"/>
              </w:rPr>
              <w:t>Clinical service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Residual value and recovery cost</w:t>
            </w:r>
          </w:p>
        </w:tc>
        <w:tc>
          <w:tcPr>
            <w:tcW w:type="dxa" w:w="2016"/>
            <w:vAlign w:val="top"/>
          </w:tcPr>
          <w:p>
            <w:r>
              <w:rPr>
                <w:sz w:val="17"/>
              </w:rPr>
              <w:t>Residual value and recovery cost: monthly rate per 1,000 eligible encounters.</w:t>
            </w:r>
          </w:p>
        </w:tc>
        <w:tc>
          <w:tcPr>
            <w:tcW w:type="dxa" w:w="2016"/>
            <w:vAlign w:val="top"/>
          </w:tcPr>
          <w:p>
            <w:r>
              <w:rPr>
                <w:sz w:val="17"/>
              </w:rPr>
              <w:t>Baseline 42; current 31 (synthetic units).</w:t>
            </w:r>
          </w:p>
        </w:tc>
        <w:tc>
          <w:tcPr>
            <w:tcW w:type="dxa" w:w="2016"/>
            <w:vAlign w:val="top"/>
          </w:tcPr>
          <w:p>
            <w:r>
              <w:rPr>
                <w:sz w:val="17"/>
              </w:rPr>
              <w:t>Quality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Rebound, safety, equity, resilience, and continuity</w:t>
            </w:r>
          </w:p>
        </w:tc>
        <w:tc>
          <w:tcPr>
            <w:tcW w:type="dxa" w:w="2016"/>
            <w:vAlign w:val="top"/>
          </w:tcPr>
          <w:p>
            <w:r>
              <w:rPr>
                <w:sz w:val="17"/>
              </w:rPr>
              <w:t>Rebound, safety, equity, resilience, and continuity: monthly rate per 1,000 eligible encounters.</w:t>
            </w:r>
          </w:p>
        </w:tc>
        <w:tc>
          <w:tcPr>
            <w:tcW w:type="dxa" w:w="2016"/>
            <w:vAlign w:val="top"/>
          </w:tcPr>
          <w:p>
            <w:r>
              <w:rPr>
                <w:sz w:val="17"/>
              </w:rPr>
              <w:t>Baseline 42; current 31 (synthetic units).</w:t>
            </w:r>
          </w:p>
        </w:tc>
        <w:tc>
          <w:tcPr>
            <w:tcW w:type="dxa" w:w="2016"/>
            <w:vAlign w:val="top"/>
          </w:tcPr>
          <w:p>
            <w:r>
              <w:rPr>
                <w:sz w:val="17"/>
              </w:rPr>
              <w:t>Data steward</w:t>
            </w:r>
          </w:p>
        </w:tc>
        <w:tc>
          <w:tcPr>
            <w:tcW w:type="dxa" w:w="2016"/>
            <w:vAlign w:val="top"/>
          </w:tcPr>
          <w:p>
            <w:r>
              <w:rPr>
                <w:sz w:val="17"/>
              </w:rPr>
              <w:t>Moderate residual risk; remediate before scale and review monthly during pilot.</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AIHE-E05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AIHE-E05 template and worked example</dc:title>
  <dc:creator/>
  <ns0:lastModifiedBy/>
  <ns2:created xsi:type="dcterms:W3CDTF">2026-08-06T00:00:00Z</ns2:created>
  <ns2:modified xsi:type="dcterms:W3CDTF">2026-08-06T00:00:00Z</ns2:modified>
</ns0:coreProperties>
</file>