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  <w:r>
        <w:rPr>
          <w:b/>
          <w:color w:val="1F4E79"/>
          <w:sz w:val="54"/>
        </w:rPr>
        <w:t>AIHE-CE5: Circular Decommissioning and Asset Disposition Record</w:t>
      </w:r>
    </w:p>
    <w:p>
      <w:pPr>
        <w:jc w:val="center"/>
      </w:pPr>
      <w:r>
        <w:rPr>
          <w:i/>
          <w:color w:val="2F75B5"/>
          <w:sz w:val="30"/>
        </w:rPr>
        <w:t>Document secure data erasure, reuse, refurbishment, take-back, recycling, residual value, chain of custody, and approval.</w:t>
      </w:r>
    </w:p>
    <w:p>
      <w:pPr>
        <w:jc w:val="center"/>
      </w:pPr>
      <w:r>
        <w:rPr>
          <w:b/>
        </w:rPr>
        <w:br/>
        <w:t>Master consolidation edition - 2026</w:t>
        <w:br/>
      </w:r>
    </w:p>
    <w:p>
      <w:pPr>
        <w:jc w:val="center"/>
      </w:pPr>
      <w:r>
        <w:t>Developmental educational and practitioner resource. Author-developed frameworks require independent validation before standardized institutional use.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Complete this resource collaboratively with clinical, operational, technical, economic, procurement, privacy, cybersecurity, sustainability, and governance representatives. Record evidence sources and distinguish mandatory safeguards from weighted preferences.</w:t>
      </w:r>
    </w:p>
    <w:p>
      <w:pPr>
        <w:pStyle w:val="Heading1"/>
      </w:pPr>
      <w:r>
        <w:t>Scope and accountable owners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Scope and accountable owners: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Service continuity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Service continuity: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Data export, archive, and erasure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Data export, archive, and erasure: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Asset reuse, refurbishment, take-back, recycling, and disposal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Asset reuse, refurbishment, take-back, recycling, and disposal: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Chain of custody and residual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Chain of custody and residual value: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Final approval and lessons learned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Final approval and lessons learned: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Resource-control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4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921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Resource ID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AIHE-CE5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Developmental educational and practitioner resource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Related book chapter</w:t>
            </w:r>
          </w:p>
        </w:tc>
        <w:tc>
          <w:tcPr>
            <w:tcW w:type="dxa" w:w="9216"/>
            <w:vAlign w:val="center"/>
          </w:tcPr>
          <w:p>
            <w:r>
              <w:t>Circular Health Systems and Resource Stewardship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License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CC BY-NC 4.0, subject to final author and publisher approval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Disclaimer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Not a validated clinical, regulatory, legal, environmental-accounting, or procurement instrument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37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AIHE-CE5 Circular Decommissioning and Asset Disposition Record</dc:title>
  <dc:creator/>
  <ns0:lastModifiedBy/>
  <ns2:created xsi:type="dcterms:W3CDTF">2026-08-06T00:00:00Z</ns2:created>
  <ns2:modified xsi:type="dcterms:W3CDTF">2026-08-06T00:00:00Z</ns2:modified>
</ns0:coreProperties>
</file>