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AIHE-F — Suggested 12-Week Teaching Plan</w:t>
      </w:r>
    </w:p>
    <w:p>
      <w:r>
        <w:rPr>
          <w:b/>
        </w:rPr>
        <w:t xml:space="preserve">Current digital location: </w:t>
      </w:r>
      <w:r>
        <w:t>Companion only — Teaching and workshop resources</w:t>
      </w:r>
    </w:p>
    <w:p>
      <w:r>
        <w:rPr>
          <w:b/>
        </w:rPr>
        <w:t xml:space="preserve">Related book chapters: </w:t>
      </w:r>
      <w:r>
        <w:t>Chapter 12: Decision Architecture and Lifecycle Governance; Chapter 8: Decision Modelling and Simulation Under Uncertainty; Chapter 11: Evidence, Validation, and Real-World Evaluation; Chapter 11: Evidence, Validation, and Real-World Evaluation; Computational instruments in the Digital Resource Companion; principally Chapters 8, 11, and 12; Chapter 13: Circular Health Systems and Resource Stewardship; Chapter 14: Circular Procurement and Asset Stewardship; Chapter 15: Circularity-Adjusted Evaluation and Sustainable Value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Optional compressed course plan, separate from the printed book.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Current schedule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Core chapters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Applied activity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Foundations and decision problem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1–3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Use-case canvas and decision specification.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Data, readiness, and secondary use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4–5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Readiness and data-governance records.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Human–AI decisions, dashboards, and quality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6–9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Decision-support and indicator design.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Cost, ROI, and benefit realization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10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TCAIO and capacity-conversion exercise.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Cost-effectiveness, HTA, affordability, and uncertainty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11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CEA/BIA/HTA scenario.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Procurement, governance, privacy, cybersecurity, equity, and trust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12–14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Vendor and governance review.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Implementation, lifecycle monitoring, and de-adoption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15–16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Implementation and algorithmovigilance plan.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Frameworks, processes, and applied decisions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17–19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Dossier and decision memo.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Methods, modeling, evidence, and causal evaluation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20–23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Method selection and evidence plan.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Computational instruments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24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Synthetic analytics laboratory.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Circular health systems and circular procurement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25–26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Circularity hierarchy and asset-life decision.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Circularity-adjusted evaluation and capstone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27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Sustainable-value evaluation and final presentation.</w:t>
            </w:r>
          </w:p>
        </w:tc>
      </w:tr>
    </w:tbl>
    <w:p/>
    <w:p>
      <w:pPr>
        <w:pStyle w:val="Heading1"/>
      </w:pPr>
      <w:r>
        <w:t>Use principles</w:t>
      </w:r>
    </w:p>
    <w:p>
      <w:pPr>
        <w:pStyle w:val="ListBullet"/>
      </w:pPr>
      <w:r>
        <w:t>Use the printed volume as a reference rather than a mandatory linear textbook.</w:t>
      </w:r>
    </w:p>
    <w:p>
      <w:pPr>
        <w:pStyle w:val="ListBullet"/>
      </w:pPr>
      <w:r>
        <w:t>Select cases and methods appropriate to the learner group and jurisdiction.</w:t>
      </w:r>
    </w:p>
    <w:p>
      <w:pPr>
        <w:pStyle w:val="ListBullet"/>
      </w:pPr>
      <w:r>
        <w:t>Keep teaching assessment separate from institutional approval records.</w:t>
      </w:r>
    </w:p>
    <w:p>
      <w:pPr>
        <w:pStyle w:val="ListBullet"/>
      </w:pPr>
      <w:r>
        <w:t>Use synthetic data unless governed access and approvals are in place.</w:t>
      </w:r>
    </w:p>
    <w:p>
      <w:pPr>
        <w:pStyle w:val="ListBullet"/>
      </w:pPr>
      <w:r>
        <w:t>Require a final recommendation with evidence, uncertainty, conditions, owners, monitoring, and an exit path.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AIHE-F template</dc:title>
  <dc:creator/>
  <ns0:lastModifiedBy/>
  <ns2:created xsi:type="dcterms:W3CDTF">2026-08-06T00:00:00Z</ns2:created>
  <ns2:modified xsi:type="dcterms:W3CDTF">2026-08-06T00:00:00Z</ns2:modified>
</ns0:coreProperties>
</file>