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re"/>
      </w:pPr>
      <w:r>
        <w:t>Stakeholders, Decision Rights, and Participation</w:t>
      </w:r>
    </w:p>
    <w:p>
      <w:pPr>
        <w:jc w:val="centre"/>
      </w:pPr>
      <w:r>
        <w:rPr>
          <w:b/>
          <w:color w:val="7A2334"/>
        </w:rPr>
        <w:t>AIHE-A02</w:t>
      </w:r>
    </w:p>
    <w:p>
      <w:pPr>
        <w:spacing w:after="40"/>
      </w:pPr>
      <w:r>
        <w:rPr>
          <w:b/>
        </w:rPr>
        <w:t xml:space="preserve">Primary chapter: </w:t>
      </w:r>
      <w:r>
        <w:t>1 — AI as a Health-System Intervention</w:t>
      </w:r>
    </w:p>
    <w:p>
      <w:pPr>
        <w:spacing w:after="40"/>
      </w:pPr>
      <w:r>
        <w:rPr>
          <w:b/>
        </w:rPr>
        <w:t xml:space="preserve">Additional chapter alignment: </w:t>
      </w:r>
      <w:r>
        <w:t>1, 3, 10, 12</w:t>
      </w:r>
    </w:p>
    <w:p>
      <w:pPr>
        <w:spacing w:after="40"/>
      </w:pPr>
      <w:r>
        <w:rPr>
          <w:b/>
        </w:rPr>
        <w:t xml:space="preserve">Legacy aliases: </w:t>
      </w:r>
      <w:r>
        <w:t>AIHE-EX01</w:t>
      </w:r>
    </w:p>
    <w:p>
      <w:pPr>
        <w:spacing w:after="40"/>
      </w:pPr>
      <w:r>
        <w:rPr>
          <w:b/>
        </w:rPr>
        <w:t xml:space="preserve">Version: </w:t>
      </w:r>
      <w:r>
        <w:t>V1.0</w:t>
      </w:r>
    </w:p>
    <w:p>
      <w:pPr>
        <w:pStyle w:val="Heading1"/>
      </w:pPr>
      <w:r>
        <w:t>Purpose</w:t>
      </w:r>
    </w:p>
    <w:p>
      <w:r>
        <w:t>Identify affected parties, decision rights, participation duties, evidence contributions, and escalation authority.</w:t>
      </w:r>
    </w:p>
    <w:p>
      <w:pPr>
        <w:pStyle w:val="Heading1"/>
      </w:pPr>
      <w:r>
        <w:t>Instructions</w:t>
      </w:r>
    </w:p>
    <w:p>
      <w:pPr>
        <w:pStyle w:val="ListBullet"/>
      </w:pPr>
      <w:r>
        <w:t>Create a controlled project copy before entering institutional information.</w:t>
      </w:r>
    </w:p>
    <w:p>
      <w:pPr>
        <w:pStyle w:val="ListBullet"/>
      </w:pPr>
      <w:r>
        <w:t>Complete the record with the people who own the decision, evidence, workflow, budget, safeguards, and follow-up actions.</w:t>
      </w:r>
    </w:p>
    <w:p>
      <w:pPr>
        <w:pStyle w:val="ListBullet"/>
      </w:pPr>
      <w:r>
        <w:t>Distinguish documented evidence from assumptions, unresolved questions, and planned evidence collection.</w:t>
      </w:r>
    </w:p>
    <w:p>
      <w:pPr>
        <w:pStyle w:val="ListBullet"/>
      </w:pPr>
      <w:r>
        <w:t>Record the system and version, intended use, population, setting, comparator, evidence cut-off, accountable owner, decision conditions, review triggers, and exit or renewal criteria.</w:t>
      </w:r>
    </w:p>
    <w:p>
      <w:pPr>
        <w:pStyle w:val="ListBullet"/>
      </w:pPr>
      <w:r>
        <w:t>Do not enter identifiable patient information, credentials, private keys, or confidential contract details into uncontrolled copies.</w:t>
      </w:r>
    </w:p>
    <w:p>
      <w:pPr>
        <w:pStyle w:val="Heading1"/>
      </w:pPr>
      <w:r>
        <w:t>Status and limitations</w:t>
      </w:r>
    </w:p>
    <w:p>
      <w:r>
        <w:t>This resource is a structured decision-support and documentation aid. It is not a validated clinical instrument, legal opinion, regulatory approval, accreditation decision, cybersecurity certification, procurement authorization, or health technology assessment. Adapt it to the applicable jurisdiction, institution, population, workflow, evidence base, and accountable authority.</w:t>
      </w:r>
    </w:p>
    <w:p>
      <w:pPr>
        <w:pStyle w:val="Heading1"/>
      </w:pPr>
      <w:r>
        <w:t>Blank institutional template</w:t>
      </w:r>
    </w:p>
    <w:tbl>
      <w:tblPr>
        <w:tblStyle w:val="TableGrid"/>
        <w:tblW w:type="auto" w:w="0"/>
        <w:jc w:val="centre"/>
        <w:tblLook w:firstColumn="1" w:firstRow="1" w:lastColumn="0" w:lastRow="0" w:noHBand="0" w:noVBand="1" w:val="04A0"/>
      </w:tblPr>
      <w:tblGrid>
        <w:gridCol w:w="2520"/>
        <w:gridCol w:w="2520"/>
        <w:gridCol w:w="2520"/>
        <w:gridCol w:w="2520"/>
      </w:tblGrid>
      <w:tr>
        <w:trPr>
          <w:tblHeader w:val="true"/>
        </w:trPr>
        <w:tc>
          <w:tcPr>
            <w:tcW w:type="dxa" w:w="2520"/>
            <w:shd w:fill="7A2334"/>
          </w:tcPr>
          <w:p>
            <w:r>
              <w:rPr>
                <w:b/>
                <w:color w:val="FFFFFF"/>
                <w:sz w:val="18"/>
              </w:rPr>
              <w:t>Role or group</w:t>
            </w:r>
          </w:p>
        </w:tc>
        <w:tc>
          <w:tcPr>
            <w:tcW w:type="dxa" w:w="2520"/>
            <w:shd w:fill="7A2334"/>
          </w:tcPr>
          <w:p>
            <w:r>
              <w:rPr>
                <w:b/>
                <w:color w:val="FFFFFF"/>
                <w:sz w:val="18"/>
              </w:rPr>
              <w:t>Interest or potential effect</w:t>
            </w:r>
          </w:p>
        </w:tc>
        <w:tc>
          <w:tcPr>
            <w:tcW w:type="dxa" w:w="2520"/>
            <w:shd w:fill="7A2334"/>
          </w:tcPr>
          <w:p>
            <w:r>
              <w:rPr>
                <w:b/>
                <w:color w:val="FFFFFF"/>
                <w:sz w:val="18"/>
              </w:rPr>
              <w:t>Decision duty</w:t>
            </w:r>
          </w:p>
        </w:tc>
        <w:tc>
          <w:tcPr>
            <w:tcW w:type="dxa" w:w="2520"/>
            <w:shd w:fill="7A2334"/>
          </w:tcPr>
          <w:p>
            <w:r>
              <w:rPr>
                <w:b/>
                <w:color w:val="FFFFFF"/>
                <w:sz w:val="18"/>
              </w:rPr>
              <w:t>Participation, evidence, or action required</w:t>
            </w:r>
          </w:p>
        </w:tc>
      </w:tr>
      <w:tr>
        <w:tc>
          <w:tcPr>
            <w:tcW w:type="dxa" w:w="2520"/>
            <w:vAlign w:val="top"/>
            <w:shd w:fill="F2E8EB"/>
          </w:tcPr>
          <w:p>
            <w:r>
              <w:rPr>
                <w:sz w:val="17"/>
              </w:rPr>
              <w:t>Board or executive sponsor</w:t>
            </w:r>
          </w:p>
        </w:tc>
        <w:tc>
          <w:tcPr>
            <w:tcW w:type="dxa" w:w="2520"/>
            <w:vAlign w:val="top"/>
          </w:tcPr>
          <w:p>
            <w:r>
              <w:rPr>
                <w:sz w:val="17"/>
              </w:rPr>
              <w:t>Strategy, public accountability, resources, and risk appetite</w:t>
            </w:r>
          </w:p>
        </w:tc>
        <w:tc>
          <w:tcPr>
            <w:tcW w:type="dxa" w:w="2520"/>
            <w:vAlign w:val="top"/>
          </w:tcPr>
          <w:p>
            <w:r>
              <w:rPr>
                <w:sz w:val="17"/>
              </w:rPr>
              <w:t>Approve material commitment and named accountability</w:t>
            </w:r>
          </w:p>
        </w:tc>
        <w:tc>
          <w:tcPr>
            <w:tcW w:type="dxa" w:w="2520"/>
            <w:vAlign w:val="top"/>
          </w:tcPr>
          <w:p>
            <w:r>
              <w:rPr>
                <w:sz w:val="17"/>
              </w:rPr>
            </w:r>
          </w:p>
        </w:tc>
      </w:tr>
      <w:tr>
        <w:tc>
          <w:tcPr>
            <w:tcW w:type="dxa" w:w="2520"/>
            <w:vAlign w:val="top"/>
            <w:shd w:fill="F2E8EB"/>
          </w:tcPr>
          <w:p>
            <w:r>
              <w:rPr>
                <w:sz w:val="17"/>
              </w:rPr>
              <w:t>Clinical and operational leads</w:t>
            </w:r>
          </w:p>
        </w:tc>
        <w:tc>
          <w:tcPr>
            <w:tcW w:type="dxa" w:w="2520"/>
            <w:vAlign w:val="top"/>
          </w:tcPr>
          <w:p>
            <w:r>
              <w:rPr>
                <w:sz w:val="17"/>
              </w:rPr>
              <w:t>Safety, workflow, professional practice, and service capacity</w:t>
            </w:r>
          </w:p>
        </w:tc>
        <w:tc>
          <w:tcPr>
            <w:tcW w:type="dxa" w:w="2520"/>
            <w:vAlign w:val="top"/>
          </w:tcPr>
          <w:p>
            <w:r>
              <w:rPr>
                <w:sz w:val="17"/>
              </w:rPr>
              <w:t>Specify intended use, action, fallback, and clinical acceptance</w:t>
            </w:r>
          </w:p>
        </w:tc>
        <w:tc>
          <w:tcPr>
            <w:tcW w:type="dxa" w:w="2520"/>
            <w:vAlign w:val="top"/>
          </w:tcPr>
          <w:p>
            <w:r>
              <w:rPr>
                <w:sz w:val="17"/>
              </w:rPr>
            </w:r>
          </w:p>
        </w:tc>
      </w:tr>
      <w:tr>
        <w:tc>
          <w:tcPr>
            <w:tcW w:type="dxa" w:w="2520"/>
            <w:vAlign w:val="top"/>
            <w:shd w:fill="F2E8EB"/>
          </w:tcPr>
          <w:p>
            <w:r>
              <w:rPr>
                <w:sz w:val="17"/>
              </w:rPr>
              <w:t>Quality and accreditation leads</w:t>
            </w:r>
          </w:p>
        </w:tc>
        <w:tc>
          <w:tcPr>
            <w:tcW w:type="dxa" w:w="2520"/>
            <w:vAlign w:val="top"/>
          </w:tcPr>
          <w:p>
            <w:r>
              <w:rPr>
                <w:sz w:val="17"/>
              </w:rPr>
              <w:t>Standards, controls, evidence, incidents, and improvement</w:t>
            </w:r>
          </w:p>
        </w:tc>
        <w:tc>
          <w:tcPr>
            <w:tcW w:type="dxa" w:w="2520"/>
            <w:vAlign w:val="top"/>
          </w:tcPr>
          <w:p>
            <w:r>
              <w:rPr>
                <w:sz w:val="17"/>
              </w:rPr>
              <w:t>Integrate the intervention into quality-management and accreditation processes</w:t>
            </w:r>
          </w:p>
        </w:tc>
        <w:tc>
          <w:tcPr>
            <w:tcW w:type="dxa" w:w="2520"/>
            <w:vAlign w:val="top"/>
          </w:tcPr>
          <w:p>
            <w:r>
              <w:rPr>
                <w:sz w:val="17"/>
              </w:rPr>
            </w:r>
          </w:p>
        </w:tc>
      </w:tr>
      <w:tr>
        <w:tc>
          <w:tcPr>
            <w:tcW w:type="dxa" w:w="2520"/>
            <w:vAlign w:val="top"/>
            <w:shd w:fill="F2E8EB"/>
          </w:tcPr>
          <w:p>
            <w:r>
              <w:rPr>
                <w:sz w:val="17"/>
              </w:rPr>
              <w:t>Health economics, finance, payer, or HTA</w:t>
            </w:r>
          </w:p>
        </w:tc>
        <w:tc>
          <w:tcPr>
            <w:tcW w:type="dxa" w:w="2520"/>
            <w:vAlign w:val="top"/>
          </w:tcPr>
          <w:p>
            <w:r>
              <w:rPr>
                <w:sz w:val="17"/>
              </w:rPr>
              <w:t>Cost, outcomes, affordability, opportunity cost, reimbursement, and value</w:t>
            </w:r>
          </w:p>
        </w:tc>
        <w:tc>
          <w:tcPr>
            <w:tcW w:type="dxa" w:w="2520"/>
            <w:vAlign w:val="top"/>
          </w:tcPr>
          <w:p>
            <w:r>
              <w:rPr>
                <w:sz w:val="17"/>
              </w:rPr>
              <w:t>Approve economic methods, assumptions, and budget consequences</w:t>
            </w:r>
          </w:p>
        </w:tc>
        <w:tc>
          <w:tcPr>
            <w:tcW w:type="dxa" w:w="2520"/>
            <w:vAlign w:val="top"/>
          </w:tcPr>
          <w:p>
            <w:r>
              <w:rPr>
                <w:sz w:val="17"/>
              </w:rPr>
            </w:r>
          </w:p>
        </w:tc>
      </w:tr>
      <w:tr>
        <w:tc>
          <w:tcPr>
            <w:tcW w:type="dxa" w:w="2520"/>
            <w:vAlign w:val="top"/>
            <w:shd w:fill="F2E8EB"/>
          </w:tcPr>
          <w:p>
            <w:r>
              <w:rPr>
                <w:sz w:val="17"/>
              </w:rPr>
              <w:t>Data, informatics, IT, and cybersecurity</w:t>
            </w:r>
          </w:p>
        </w:tc>
        <w:tc>
          <w:tcPr>
            <w:tcW w:type="dxa" w:w="2520"/>
            <w:vAlign w:val="top"/>
          </w:tcPr>
          <w:p>
            <w:r>
              <w:rPr>
                <w:sz w:val="17"/>
              </w:rPr>
              <w:t>Data fitness, interoperability, architecture, security, resilience, and monitoring</w:t>
            </w:r>
          </w:p>
        </w:tc>
        <w:tc>
          <w:tcPr>
            <w:tcW w:type="dxa" w:w="2520"/>
            <w:vAlign w:val="top"/>
          </w:tcPr>
          <w:p>
            <w:r>
              <w:rPr>
                <w:sz w:val="17"/>
              </w:rPr>
              <w:t>Verify technical readiness and continuing operability</w:t>
            </w:r>
          </w:p>
        </w:tc>
        <w:tc>
          <w:tcPr>
            <w:tcW w:type="dxa" w:w="2520"/>
            <w:vAlign w:val="top"/>
          </w:tcPr>
          <w:p>
            <w:r>
              <w:rPr>
                <w:sz w:val="17"/>
              </w:rPr>
            </w:r>
          </w:p>
        </w:tc>
      </w:tr>
      <w:tr>
        <w:tc>
          <w:tcPr>
            <w:tcW w:type="dxa" w:w="2520"/>
            <w:vAlign w:val="top"/>
            <w:shd w:fill="F2E8EB"/>
          </w:tcPr>
          <w:p>
            <w:r>
              <w:rPr>
                <w:sz w:val="17"/>
              </w:rPr>
              <w:t>Ethics, privacy, legal, and compliance</w:t>
            </w:r>
          </w:p>
        </w:tc>
        <w:tc>
          <w:tcPr>
            <w:tcW w:type="dxa" w:w="2520"/>
            <w:vAlign w:val="top"/>
          </w:tcPr>
          <w:p>
            <w:r>
              <w:rPr>
                <w:sz w:val="17"/>
              </w:rPr>
              <w:t>Rights, lawful use, fairness, contestability, and obligations</w:t>
            </w:r>
          </w:p>
        </w:tc>
        <w:tc>
          <w:tcPr>
            <w:tcW w:type="dxa" w:w="2520"/>
            <w:vAlign w:val="top"/>
          </w:tcPr>
          <w:p>
            <w:r>
              <w:rPr>
                <w:sz w:val="17"/>
              </w:rPr>
              <w:t>Define mandatory safeguards and unresolved legal or ethical conditions</w:t>
            </w:r>
          </w:p>
        </w:tc>
        <w:tc>
          <w:tcPr>
            <w:tcW w:type="dxa" w:w="2520"/>
            <w:vAlign w:val="top"/>
          </w:tcPr>
          <w:p>
            <w:r>
              <w:rPr>
                <w:sz w:val="17"/>
              </w:rPr>
            </w:r>
          </w:p>
        </w:tc>
      </w:tr>
      <w:tr>
        <w:tc>
          <w:tcPr>
            <w:tcW w:type="dxa" w:w="2520"/>
            <w:vAlign w:val="top"/>
            <w:shd w:fill="F2E8EB"/>
          </w:tcPr>
          <w:p>
            <w:r>
              <w:rPr>
                <w:sz w:val="17"/>
              </w:rPr>
              <w:t>Procurement and contract management</w:t>
            </w:r>
          </w:p>
        </w:tc>
        <w:tc>
          <w:tcPr>
            <w:tcW w:type="dxa" w:w="2520"/>
            <w:vAlign w:val="top"/>
          </w:tcPr>
          <w:p>
            <w:r>
              <w:rPr>
                <w:sz w:val="17"/>
              </w:rPr>
              <w:t>Evidence, price, service levels, updates, remedies, portability, and exit</w:t>
            </w:r>
          </w:p>
        </w:tc>
        <w:tc>
          <w:tcPr>
            <w:tcW w:type="dxa" w:w="2520"/>
            <w:vAlign w:val="top"/>
          </w:tcPr>
          <w:p>
            <w:r>
              <w:rPr>
                <w:sz w:val="17"/>
              </w:rPr>
              <w:t>Translate requirements into enforceable terms</w:t>
            </w:r>
          </w:p>
        </w:tc>
        <w:tc>
          <w:tcPr>
            <w:tcW w:type="dxa" w:w="2520"/>
            <w:vAlign w:val="top"/>
          </w:tcPr>
          <w:p>
            <w:r>
              <w:rPr>
                <w:sz w:val="17"/>
              </w:rPr>
            </w:r>
          </w:p>
        </w:tc>
      </w:tr>
      <w:tr>
        <w:tc>
          <w:tcPr>
            <w:tcW w:type="dxa" w:w="2520"/>
            <w:vAlign w:val="top"/>
            <w:shd w:fill="F2E8EB"/>
          </w:tcPr>
          <w:p>
            <w:r>
              <w:rPr>
                <w:sz w:val="17"/>
              </w:rPr>
              <w:t>Patients, public, and workforce representatives</w:t>
            </w:r>
          </w:p>
        </w:tc>
        <w:tc>
          <w:tcPr>
            <w:tcW w:type="dxa" w:w="2520"/>
            <w:vAlign w:val="top"/>
          </w:tcPr>
          <w:p>
            <w:r>
              <w:rPr>
                <w:sz w:val="17"/>
              </w:rPr>
              <w:t>Access, experience, acceptability, trust, burden, and group effects</w:t>
            </w:r>
          </w:p>
        </w:tc>
        <w:tc>
          <w:tcPr>
            <w:tcW w:type="dxa" w:w="2520"/>
            <w:vAlign w:val="top"/>
          </w:tcPr>
          <w:p>
            <w:r>
              <w:rPr>
                <w:sz w:val="17"/>
              </w:rPr>
              <w:t>Contribute priorities, communication requirements, and challenge</w:t>
            </w:r>
          </w:p>
        </w:tc>
        <w:tc>
          <w:tcPr>
            <w:tcW w:type="dxa" w:w="2520"/>
            <w:vAlign w:val="top"/>
          </w:tcPr>
          <w:p>
            <w:r>
              <w:rPr>
                <w:sz w:val="17"/>
              </w:rPr>
            </w:r>
          </w:p>
        </w:tc>
      </w:tr>
    </w:tbl>
    <w:p>
      <w:r/>
    </w:p>
    <w:p>
      <w:pPr>
        <w:pStyle w:val="Heading1"/>
      </w:pPr>
      <w:r>
        <w:t>Worked synthetic example</w:t>
      </w:r>
    </w:p>
    <w:p>
      <w:r>
        <w:t>This example demonstrates completion logic only. It is not an empirical finding and should not be reused as institutional evidence.</w:t>
      </w:r>
    </w:p>
    <w:tbl>
      <w:tblPr>
        <w:tblStyle w:val="TableGrid"/>
        <w:tblW w:type="auto" w:w="0"/>
        <w:jc w:val="centre"/>
        <w:tblLook w:firstColumn="1" w:firstRow="1" w:lastColumn="0" w:lastRow="0" w:noHBand="0" w:noVBand="1" w:val="04A0"/>
      </w:tblPr>
      <w:tblGrid>
        <w:gridCol w:w="2520"/>
        <w:gridCol w:w="2520"/>
        <w:gridCol w:w="2520"/>
        <w:gridCol w:w="2520"/>
      </w:tblGrid>
      <w:tr>
        <w:trPr>
          <w:tblHeader w:val="true"/>
        </w:trPr>
        <w:tc>
          <w:tcPr>
            <w:tcW w:type="dxa" w:w="2520"/>
            <w:shd w:fill="52565A"/>
          </w:tcPr>
          <w:p>
            <w:r>
              <w:rPr>
                <w:b/>
                <w:color w:val="FFFFFF"/>
                <w:sz w:val="18"/>
              </w:rPr>
              <w:t>Role or group</w:t>
            </w:r>
          </w:p>
        </w:tc>
        <w:tc>
          <w:tcPr>
            <w:tcW w:type="dxa" w:w="2520"/>
            <w:shd w:fill="52565A"/>
          </w:tcPr>
          <w:p>
            <w:r>
              <w:rPr>
                <w:b/>
                <w:color w:val="FFFFFF"/>
                <w:sz w:val="18"/>
              </w:rPr>
              <w:t>Interest or potential effect</w:t>
            </w:r>
          </w:p>
        </w:tc>
        <w:tc>
          <w:tcPr>
            <w:tcW w:type="dxa" w:w="2520"/>
            <w:shd w:fill="52565A"/>
          </w:tcPr>
          <w:p>
            <w:r>
              <w:rPr>
                <w:b/>
                <w:color w:val="FFFFFF"/>
                <w:sz w:val="18"/>
              </w:rPr>
              <w:t>Decision duty</w:t>
            </w:r>
          </w:p>
        </w:tc>
        <w:tc>
          <w:tcPr>
            <w:tcW w:type="dxa" w:w="2520"/>
            <w:shd w:fill="52565A"/>
          </w:tcPr>
          <w:p>
            <w:r>
              <w:rPr>
                <w:b/>
                <w:color w:val="FFFFFF"/>
                <w:sz w:val="18"/>
              </w:rPr>
              <w:t>Participation, evidence, or action required</w:t>
            </w:r>
          </w:p>
        </w:tc>
      </w:tr>
      <w:tr>
        <w:tc>
          <w:tcPr>
            <w:tcW w:type="dxa" w:w="2520"/>
            <w:vAlign w:val="top"/>
            <w:shd w:fill="EFEFEF"/>
          </w:tcPr>
          <w:p>
            <w:r>
              <w:rPr>
                <w:sz w:val="17"/>
              </w:rPr>
              <w:t>Board or executive sponsor</w:t>
            </w:r>
          </w:p>
        </w:tc>
        <w:tc>
          <w:tcPr>
            <w:tcW w:type="dxa" w:w="2520"/>
            <w:vAlign w:val="top"/>
          </w:tcPr>
          <w:p>
            <w:r>
              <w:rPr>
                <w:sz w:val="17"/>
              </w:rPr>
              <w:t>Strategy, public accountability, resources, and risk appetite</w:t>
            </w:r>
          </w:p>
        </w:tc>
        <w:tc>
          <w:tcPr>
            <w:tcW w:type="dxa" w:w="2520"/>
            <w:vAlign w:val="top"/>
          </w:tcPr>
          <w:p>
            <w:r>
              <w:rPr>
                <w:sz w:val="17"/>
              </w:rPr>
              <w:t>Approve material commitment and named accountability</w:t>
            </w:r>
          </w:p>
        </w:tc>
        <w:tc>
          <w:tcPr>
            <w:tcW w:type="dxa" w:w="2520"/>
            <w:vAlign w:val="top"/>
          </w:tcPr>
          <w:p>
            <w:r>
              <w:rPr>
                <w:sz w:val="17"/>
              </w:rPr>
              <w:t>Synthetic local baseline report; controlled dataset v1.2; evidence cut-off 2026-01-31.</w:t>
            </w:r>
          </w:p>
        </w:tc>
      </w:tr>
      <w:tr>
        <w:tc>
          <w:tcPr>
            <w:tcW w:type="dxa" w:w="2520"/>
            <w:vAlign w:val="top"/>
            <w:shd w:fill="EFEFEF"/>
          </w:tcPr>
          <w:p>
            <w:r>
              <w:rPr>
                <w:sz w:val="17"/>
              </w:rPr>
              <w:t>Clinical and operational leads</w:t>
            </w:r>
          </w:p>
        </w:tc>
        <w:tc>
          <w:tcPr>
            <w:tcW w:type="dxa" w:w="2520"/>
            <w:vAlign w:val="top"/>
          </w:tcPr>
          <w:p>
            <w:r>
              <w:rPr>
                <w:sz w:val="17"/>
              </w:rPr>
              <w:t>Safety, workflow, professional practice, and service capacity</w:t>
            </w:r>
          </w:p>
        </w:tc>
        <w:tc>
          <w:tcPr>
            <w:tcW w:type="dxa" w:w="2520"/>
            <w:vAlign w:val="top"/>
          </w:tcPr>
          <w:p>
            <w:r>
              <w:rPr>
                <w:sz w:val="17"/>
              </w:rPr>
              <w:t>Specify intended use, action, fallback, and clinical acceptance</w:t>
            </w:r>
          </w:p>
        </w:tc>
        <w:tc>
          <w:tcPr>
            <w:tcW w:type="dxa" w:w="2520"/>
            <w:vAlign w:val="top"/>
          </w:tcPr>
          <w:p>
            <w:r>
              <w:rPr>
                <w:sz w:val="17"/>
              </w:rPr>
              <w:t>Synthetic local baseline report; controlled dataset v1.2; evidence cut-off 2026-01-31.</w:t>
            </w:r>
          </w:p>
        </w:tc>
      </w:tr>
      <w:tr>
        <w:tc>
          <w:tcPr>
            <w:tcW w:type="dxa" w:w="2520"/>
            <w:vAlign w:val="top"/>
            <w:shd w:fill="EFEFEF"/>
          </w:tcPr>
          <w:p>
            <w:r>
              <w:rPr>
                <w:sz w:val="17"/>
              </w:rPr>
              <w:t>Quality and accreditation leads</w:t>
            </w:r>
          </w:p>
        </w:tc>
        <w:tc>
          <w:tcPr>
            <w:tcW w:type="dxa" w:w="2520"/>
            <w:vAlign w:val="top"/>
          </w:tcPr>
          <w:p>
            <w:r>
              <w:rPr>
                <w:sz w:val="17"/>
              </w:rPr>
              <w:t>Standards, controls, evidence, incidents, and improvement</w:t>
            </w:r>
          </w:p>
        </w:tc>
        <w:tc>
          <w:tcPr>
            <w:tcW w:type="dxa" w:w="2520"/>
            <w:vAlign w:val="top"/>
          </w:tcPr>
          <w:p>
            <w:r>
              <w:rPr>
                <w:sz w:val="17"/>
              </w:rPr>
              <w:t>Integrate the intervention into quality-management and accreditation processes</w:t>
            </w:r>
          </w:p>
        </w:tc>
        <w:tc>
          <w:tcPr>
            <w:tcW w:type="dxa" w:w="2520"/>
            <w:vAlign w:val="top"/>
          </w:tcPr>
          <w:p>
            <w:r>
              <w:rPr>
                <w:sz w:val="17"/>
              </w:rPr>
              <w:t>Synthetic local baseline report; controlled dataset v1.2; evidence cut-off 2026-01-31.</w:t>
            </w:r>
          </w:p>
        </w:tc>
      </w:tr>
      <w:tr>
        <w:tc>
          <w:tcPr>
            <w:tcW w:type="dxa" w:w="2520"/>
            <w:vAlign w:val="top"/>
            <w:shd w:fill="EFEFEF"/>
          </w:tcPr>
          <w:p>
            <w:r>
              <w:rPr>
                <w:sz w:val="17"/>
              </w:rPr>
              <w:t>Health economics, finance, payer, or HTA</w:t>
            </w:r>
          </w:p>
        </w:tc>
        <w:tc>
          <w:tcPr>
            <w:tcW w:type="dxa" w:w="2520"/>
            <w:vAlign w:val="top"/>
          </w:tcPr>
          <w:p>
            <w:r>
              <w:rPr>
                <w:sz w:val="17"/>
              </w:rPr>
              <w:t>Cost, outcomes, affordability, opportunity cost, reimbursement, and value</w:t>
            </w:r>
          </w:p>
        </w:tc>
        <w:tc>
          <w:tcPr>
            <w:tcW w:type="dxa" w:w="2520"/>
            <w:vAlign w:val="top"/>
          </w:tcPr>
          <w:p>
            <w:r>
              <w:rPr>
                <w:sz w:val="17"/>
              </w:rPr>
              <w:t>Approve economic methods, assumptions, and budget consequences</w:t>
            </w:r>
          </w:p>
        </w:tc>
        <w:tc>
          <w:tcPr>
            <w:tcW w:type="dxa" w:w="2520"/>
            <w:vAlign w:val="top"/>
          </w:tcPr>
          <w:p>
            <w:r>
              <w:rPr>
                <w:sz w:val="17"/>
              </w:rPr>
              <w:t>Synthetic local baseline report; controlled dataset v1.2; evidence cut-off 2026-01-31.</w:t>
            </w:r>
          </w:p>
        </w:tc>
      </w:tr>
      <w:tr>
        <w:tc>
          <w:tcPr>
            <w:tcW w:type="dxa" w:w="2520"/>
            <w:vAlign w:val="top"/>
            <w:shd w:fill="EFEFEF"/>
          </w:tcPr>
          <w:p>
            <w:r>
              <w:rPr>
                <w:sz w:val="17"/>
              </w:rPr>
              <w:t>Data, informatics, IT, and cybersecurity</w:t>
            </w:r>
          </w:p>
        </w:tc>
        <w:tc>
          <w:tcPr>
            <w:tcW w:type="dxa" w:w="2520"/>
            <w:vAlign w:val="top"/>
          </w:tcPr>
          <w:p>
            <w:r>
              <w:rPr>
                <w:sz w:val="17"/>
              </w:rPr>
              <w:t>Data fitness, interoperability, architecture, security, resilience, and monitoring</w:t>
            </w:r>
          </w:p>
        </w:tc>
        <w:tc>
          <w:tcPr>
            <w:tcW w:type="dxa" w:w="2520"/>
            <w:vAlign w:val="top"/>
          </w:tcPr>
          <w:p>
            <w:r>
              <w:rPr>
                <w:sz w:val="17"/>
              </w:rPr>
              <w:t>Verify technical readiness and continuing operability</w:t>
            </w:r>
          </w:p>
        </w:tc>
        <w:tc>
          <w:tcPr>
            <w:tcW w:type="dxa" w:w="2520"/>
            <w:vAlign w:val="top"/>
          </w:tcPr>
          <w:p>
            <w:r>
              <w:rPr>
                <w:sz w:val="17"/>
              </w:rPr>
              <w:t>Synthetic local baseline report; controlled dataset v1.2; evidence cut-off 2026-01-31.</w:t>
            </w:r>
          </w:p>
        </w:tc>
      </w:tr>
      <w:tr>
        <w:tc>
          <w:tcPr>
            <w:tcW w:type="dxa" w:w="2520"/>
            <w:vAlign w:val="top"/>
            <w:shd w:fill="EFEFEF"/>
          </w:tcPr>
          <w:p>
            <w:r>
              <w:rPr>
                <w:sz w:val="17"/>
              </w:rPr>
              <w:t>Ethics, privacy, legal, and compliance</w:t>
            </w:r>
          </w:p>
        </w:tc>
        <w:tc>
          <w:tcPr>
            <w:tcW w:type="dxa" w:w="2520"/>
            <w:vAlign w:val="top"/>
          </w:tcPr>
          <w:p>
            <w:r>
              <w:rPr>
                <w:sz w:val="17"/>
              </w:rPr>
              <w:t>Rights, lawful use, fairness, contestability, and obligations</w:t>
            </w:r>
          </w:p>
        </w:tc>
        <w:tc>
          <w:tcPr>
            <w:tcW w:type="dxa" w:w="2520"/>
            <w:vAlign w:val="top"/>
          </w:tcPr>
          <w:p>
            <w:r>
              <w:rPr>
                <w:sz w:val="17"/>
              </w:rPr>
              <w:t>Define mandatory safeguards and unresolved legal or ethical conditions</w:t>
            </w:r>
          </w:p>
        </w:tc>
        <w:tc>
          <w:tcPr>
            <w:tcW w:type="dxa" w:w="2520"/>
            <w:vAlign w:val="top"/>
          </w:tcPr>
          <w:p>
            <w:r>
              <w:rPr>
                <w:sz w:val="17"/>
              </w:rPr>
              <w:t>Synthetic local baseline report; controlled dataset v1.2; evidence cut-off 2026-01-31.</w:t>
            </w:r>
          </w:p>
        </w:tc>
      </w:tr>
      <w:tr>
        <w:tc>
          <w:tcPr>
            <w:tcW w:type="dxa" w:w="2520"/>
            <w:vAlign w:val="top"/>
            <w:shd w:fill="EFEFEF"/>
          </w:tcPr>
          <w:p>
            <w:r>
              <w:rPr>
                <w:sz w:val="17"/>
              </w:rPr>
              <w:t>Procurement and contract management</w:t>
            </w:r>
          </w:p>
        </w:tc>
        <w:tc>
          <w:tcPr>
            <w:tcW w:type="dxa" w:w="2520"/>
            <w:vAlign w:val="top"/>
          </w:tcPr>
          <w:p>
            <w:r>
              <w:rPr>
                <w:sz w:val="17"/>
              </w:rPr>
              <w:t>Evidence, price, service levels, updates, remedies, portability, and exit</w:t>
            </w:r>
          </w:p>
        </w:tc>
        <w:tc>
          <w:tcPr>
            <w:tcW w:type="dxa" w:w="2520"/>
            <w:vAlign w:val="top"/>
          </w:tcPr>
          <w:p>
            <w:r>
              <w:rPr>
                <w:sz w:val="17"/>
              </w:rPr>
              <w:t>Translate requirements into enforceable terms</w:t>
            </w:r>
          </w:p>
        </w:tc>
        <w:tc>
          <w:tcPr>
            <w:tcW w:type="dxa" w:w="2520"/>
            <w:vAlign w:val="top"/>
          </w:tcPr>
          <w:p>
            <w:r>
              <w:rPr>
                <w:sz w:val="17"/>
              </w:rPr>
              <w:t>Synthetic local baseline report; controlled dataset v1.2; evidence cut-off 2026-01-31.</w:t>
            </w:r>
          </w:p>
        </w:tc>
      </w:tr>
      <w:tr>
        <w:tc>
          <w:tcPr>
            <w:tcW w:type="dxa" w:w="2520"/>
            <w:vAlign w:val="top"/>
            <w:shd w:fill="EFEFEF"/>
          </w:tcPr>
          <w:p>
            <w:r>
              <w:rPr>
                <w:sz w:val="17"/>
              </w:rPr>
              <w:t>Patients, public, and workforce representatives</w:t>
            </w:r>
          </w:p>
        </w:tc>
        <w:tc>
          <w:tcPr>
            <w:tcW w:type="dxa" w:w="2520"/>
            <w:vAlign w:val="top"/>
          </w:tcPr>
          <w:p>
            <w:r>
              <w:rPr>
                <w:sz w:val="17"/>
              </w:rPr>
              <w:t>Access, experience, acceptability, trust, burden, and group effects</w:t>
            </w:r>
          </w:p>
        </w:tc>
        <w:tc>
          <w:tcPr>
            <w:tcW w:type="dxa" w:w="2520"/>
            <w:vAlign w:val="top"/>
          </w:tcPr>
          <w:p>
            <w:r>
              <w:rPr>
                <w:sz w:val="17"/>
              </w:rPr>
              <w:t>Contribute priorities, communication requirements, and challenge</w:t>
            </w:r>
          </w:p>
        </w:tc>
        <w:tc>
          <w:tcPr>
            <w:tcW w:type="dxa" w:w="2520"/>
            <w:vAlign w:val="top"/>
          </w:tcPr>
          <w:p>
            <w:r>
              <w:rPr>
                <w:sz w:val="17"/>
              </w:rPr>
              <w:t>Synthetic local baseline report; controlled dataset v1.2; evidence cut-off 2026-01-31.</w:t>
            </w:r>
          </w:p>
        </w:tc>
      </w:tr>
    </w:tbl>
    <w:sectPr w:rsidR="00FC693F" w:rsidRPr="0006063C" w:rsidSect="00034616">
      <w:footerReference w:type="default" r:id="rId9"/>
      <w:headerReference w:type="default" r:id="rId10"/>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re"/>
    </w:pPr>
    <w:r>
      <w:rPr>
        <w:color w:val="5F5A5B"/>
        <w:sz w:val="15"/>
      </w:rPr>
      <w:t>Muthana Zouri · Carmen Marinela Cumpăt · Grigore T. Popa University of Medicine and Pharmacy Publishing House · 2026</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re"/>
    </w:pPr>
    <w:r/>
    <w:r>
      <w:rPr>
        <w:rFonts w:ascii="Georgia" w:hAnsi="Georgia"/>
        <w:b/>
        <w:color w:val="7B1734"/>
        <w:sz w:val="17"/>
      </w:rPr>
      <w:t>Artificial Intelligence and Healthcare Economics</w:t>
    </w:r>
    <w:r>
      <w:rPr>
        <w:color w:val="5F5A5B"/>
        <w:sz w:val="16"/>
      </w:rPr>
      <w:t xml:space="preserve"> · Digital Resource Companion · V1.0</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re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0"/>
    </w:rPr>
  </w:style>
  <w:style w:type="paragraph" w:styleId="Header">
    <w:name w:val="header"/>
    <w:basedOn w:val="Normal"/>
    <w:link w:val="HeaderChar"/>
    <w:uiPriority w:val="99"/>
    <w:unhideWhenUsed/>
    <w:rsid w:val="00E618BF"/>
    <w:pPr>
      <w:tabs>
        <w:tab w:val="centre"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re"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ns0:Properties xmlns:ns0="http://schemas.openxmlformats.org/officeDocument/2006/extended-properties" xmlns:ns1="http://schemas.openxmlformats.org/officeDocument/2006/docPropsVTypes">
  <ns0:Template>Normal.dotm</ns0:Template>
  <ns0:TotalTime>0</ns0:TotalTime>
  <ns0:Pages>1</ns0:Pages>
  <ns0:Words>0</ns0:Words>
  <ns0:Characters>0</ns0:Characters>
  <ns0:Application>Office document</ns0:Application>
  <ns0:DocSecurity>0</ns0:DocSecurity>
  <ns0:Lines>0</ns0:Lines>
  <ns0:Paragraphs>0</ns0:Paragraphs>
  <ns0:ScaleCrop>false</ns0:ScaleCrop>
  <ns0:HeadingPairs>
    <ns1:vector size="2" baseType="variant">
      <ns1:variant>
        <ns1:lpstr>Title</ns1:lpstr>
      </ns1:variant>
      <ns1:variant>
        <ns1:i4>1</ns1:i4>
      </ns1:variant>
    </ns1:vector>
  </ns0:HeadingPairs>
  <ns0:TitlesOfParts>
    <ns1:vector size="1" baseType="lpstr">
      <ns1:lpstr/>
    </ns1:vector>
  </ns0:TitlesOfParts>
  <ns0:Manager/>
  <ns0:Company/>
  <ns0:LinksUpToDate>false</ns0:LinksUpToDate>
  <ns0:CharactersWithSpaces>0</ns0:CharactersWithSpaces>
  <ns0:SharedDoc>false</ns0:SharedDoc>
  <ns0:HyperlinkBase/>
  <ns0:HyperlinksChanged>false</ns0:HyperlinksChanged>
  <ns0:AppVersion/>
</ns0:Properties>
</file>

<file path=docProps/core.xml><?xml version="1.0" encoding="utf-8"?>
<ns0:coreProperties xmlns:dc="http://purl.org/dc/elements/1.1/" xmlns:ns0="http://schemas.openxmlformats.org/package/2006/metadata/core-properties" xmlns:ns2="http://purl.org/dc/terms/" xmlns:xsi="http://www.w3.org/2001/XMLSchema-instance">
  <dc:title>AIHE-A02 template and worked example</dc:title>
  <dc:creator>Muthana Zouri; Carmen Marinela Cumpăt</dc:creator>
  <ns0:lastModifiedBy/>
  <ns2:created xsi:type="dcterms:W3CDTF">2026-08-06T00:00:00Z</ns2:created>
  <ns2:modified xsi:type="dcterms:W3CDTF">2026-08-06T00:00:00Z</ns2:modified>
  <dc:description/>
  <dc:subject>Evidence, Value, Governance, and Sustainability</dc:subject>
  <ns0:category>Digital Resource Companion</ns0:category>
  <ns0:keywords>healthcare economics; artificial intelligence; governance; sustainable value</ns0:keywords>
</ns0:coreProperties>
</file>