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re"/>
      </w:pPr>
      <w:r>
        <w:t>Data Source, Provenance, and Fitness Record</w:t>
      </w:r>
    </w:p>
    <w:p>
      <w:pPr>
        <w:jc w:val="centre"/>
      </w:pPr>
      <w:r>
        <w:rPr>
          <w:b/>
          <w:color w:val="7A2334"/>
        </w:rPr>
        <w:t>AIHE-A04</w:t>
      </w:r>
    </w:p>
    <w:p>
      <w:pPr>
        <w:spacing w:after="40"/>
      </w:pPr>
      <w:r>
        <w:rPr>
          <w:b/>
        </w:rPr>
        <w:t xml:space="preserve">Primary chapter: </w:t>
      </w:r>
      <w:r>
        <w:t>2 — Institutional Readiness and Digital Foundations</w:t>
      </w:r>
    </w:p>
    <w:p>
      <w:pPr>
        <w:spacing w:after="40"/>
      </w:pPr>
      <w:r>
        <w:rPr>
          <w:b/>
        </w:rPr>
        <w:t xml:space="preserve">Additional chapter alignment: </w:t>
      </w:r>
      <w:r>
        <w:t>2, 8, 11, 12</w:t>
      </w:r>
    </w:p>
    <w:p>
      <w:pPr>
        <w:spacing w:after="40"/>
      </w:pPr>
      <w:r>
        <w:rPr>
          <w:b/>
        </w:rPr>
        <w:t xml:space="preserve">Legacy aliases: </w:t>
      </w:r>
      <w:r>
        <w:t>AIHE-EX03, AIHE-Y, AIHE-U</w:t>
      </w:r>
    </w:p>
    <w:p>
      <w:pPr>
        <w:spacing w:after="40"/>
      </w:pPr>
      <w:r>
        <w:rPr>
          <w:b/>
        </w:rPr>
        <w:t xml:space="preserve">Version: </w:t>
      </w:r>
      <w:r>
        <w:t>V1.0</w:t>
      </w:r>
    </w:p>
    <w:p>
      <w:pPr>
        <w:pStyle w:val="Heading1"/>
      </w:pPr>
      <w:r>
        <w:t>Purpose</w:t>
      </w:r>
    </w:p>
    <w:p>
      <w:r>
        <w:t>Document source and derived data assets, authority, definitions, transformations, quality, lineage, monitoring, and remediation.</w:t>
      </w:r>
    </w:p>
    <w:p>
      <w:pPr>
        <w:pStyle w:val="Heading1"/>
      </w:pPr>
      <w:r>
        <w:t>Instructions</w:t>
      </w:r>
    </w:p>
    <w:p>
      <w:pPr>
        <w:pStyle w:val="ListBullet"/>
      </w:pPr>
      <w:r>
        <w:t>Create a controlled project copy before entering institutional information.</w:t>
      </w:r>
    </w:p>
    <w:p>
      <w:pPr>
        <w:pStyle w:val="ListBullet"/>
      </w:pPr>
      <w:r>
        <w:t>Complete the record with the people who own the decision, evidence, workflow, budget, safeguards, and follow-up actions.</w:t>
      </w:r>
    </w:p>
    <w:p>
      <w:pPr>
        <w:pStyle w:val="ListBullet"/>
      </w:pPr>
      <w:r>
        <w:t>Distinguish documented evidence from assumptions, unresolved questions, and planned evidence collection.</w:t>
      </w:r>
    </w:p>
    <w:p>
      <w:pPr>
        <w:pStyle w:val="ListBullet"/>
      </w:pPr>
      <w:r>
        <w:t>Record the system and version, intended use, population, setting, comparator, evidence cut-off, accountable owner, decision conditions, review triggers, and exit or renewal criteria.</w:t>
      </w:r>
    </w:p>
    <w:p>
      <w:pPr>
        <w:pStyle w:val="ListBullet"/>
      </w:pPr>
      <w:r>
        <w:t>Do not enter identifiable patient information, credentials, private keys, or confidential contract details into uncontrolled copies.</w:t>
      </w:r>
    </w:p>
    <w:p>
      <w:pPr>
        <w:pStyle w:val="Heading1"/>
      </w:pPr>
      <w:r>
        <w:t>Status and limitations</w:t>
      </w:r>
    </w:p>
    <w:p>
      <w:r>
        <w:t>This resource is a structured decision-support and documentation aid. It is not a validated clinical instrument, legal opinion, regulatory approval, accreditation decision, cybersecurity certification, procurement authorization, or health technology assessment. Adapt it to the applicable jurisdiction, institution, population, workflow, evidence base, and accountable authority.</w:t>
      </w:r>
    </w:p>
    <w:p>
      <w:pPr>
        <w:pStyle w:val="Heading1"/>
      </w:pPr>
      <w:r>
        <w:t>Blank institutional template</w:t>
      </w:r>
    </w:p>
    <w:tbl>
      <w:tblPr>
        <w:tblStyle w:val="TableGrid"/>
        <w:tblW w:type="auto" w:w="0"/>
        <w:jc w:val="centre"/>
        <w:tblLook w:firstColumn="1" w:firstRow="1" w:lastColumn="0" w:lastRow="0" w:noHBand="0" w:noVBand="1" w:val="04A0"/>
      </w:tblPr>
      <w:tblGrid>
        <w:gridCol w:w="2179"/>
        <w:gridCol w:w="2179"/>
        <w:gridCol w:w="2179"/>
        <w:gridCol w:w="2179"/>
        <w:gridCol w:w="2179"/>
        <w:gridCol w:w="2179"/>
        <w:gridCol w:w="2179"/>
      </w:tblGrid>
      <w:tr>
        <w:trPr>
          <w:tblHeader w:val="true"/>
        </w:trPr>
        <w:tc>
          <w:tcPr>
            <w:tcW w:type="dxa" w:w="2179"/>
            <w:shd w:fill="7A2334"/>
          </w:tcPr>
          <w:p>
            <w:r>
              <w:rPr>
                <w:b/>
                <w:color w:val="FFFFFF"/>
                <w:sz w:val="15"/>
              </w:rPr>
              <w:t>Source or derived asset</w:t>
            </w:r>
          </w:p>
        </w:tc>
        <w:tc>
          <w:tcPr>
            <w:tcW w:type="dxa" w:w="2179"/>
            <w:shd w:fill="7A2334"/>
          </w:tcPr>
          <w:p>
            <w:r>
              <w:rPr>
                <w:b/>
                <w:color w:val="FFFFFF"/>
                <w:sz w:val="15"/>
              </w:rPr>
              <w:t>Purpose and required timing</w:t>
            </w:r>
          </w:p>
        </w:tc>
        <w:tc>
          <w:tcPr>
            <w:tcW w:type="dxa" w:w="2179"/>
            <w:shd w:fill="7A2334"/>
          </w:tcPr>
          <w:p>
            <w:r>
              <w:rPr>
                <w:b/>
                <w:color w:val="FFFFFF"/>
                <w:sz w:val="15"/>
              </w:rPr>
              <w:t>Authority and steward</w:t>
            </w:r>
          </w:p>
        </w:tc>
        <w:tc>
          <w:tcPr>
            <w:tcW w:type="dxa" w:w="2179"/>
            <w:shd w:fill="7A2334"/>
          </w:tcPr>
          <w:p>
            <w:r>
              <w:rPr>
                <w:b/>
                <w:color w:val="FFFFFF"/>
                <w:sz w:val="15"/>
              </w:rPr>
              <w:t>Definition, units, and transformations</w:t>
            </w:r>
          </w:p>
        </w:tc>
        <w:tc>
          <w:tcPr>
            <w:tcW w:type="dxa" w:w="2179"/>
            <w:shd w:fill="7A2334"/>
          </w:tcPr>
          <w:p>
            <w:r>
              <w:rPr>
                <w:b/>
                <w:color w:val="FFFFFF"/>
                <w:sz w:val="15"/>
              </w:rPr>
              <w:t>Completeness, plausibility, and representativeness</w:t>
            </w:r>
          </w:p>
        </w:tc>
        <w:tc>
          <w:tcPr>
            <w:tcW w:type="dxa" w:w="2179"/>
            <w:shd w:fill="7A2334"/>
          </w:tcPr>
          <w:p>
            <w:r>
              <w:rPr>
                <w:b/>
                <w:color w:val="FFFFFF"/>
                <w:sz w:val="15"/>
              </w:rPr>
              <w:t>Lineage, version, and monitoring</w:t>
            </w:r>
          </w:p>
        </w:tc>
        <w:tc>
          <w:tcPr>
            <w:tcW w:type="dxa" w:w="2179"/>
            <w:shd w:fill="7A2334"/>
          </w:tcPr>
          <w:p>
            <w:r>
              <w:rPr>
                <w:b/>
                <w:color w:val="FFFFFF"/>
                <w:sz w:val="15"/>
              </w:rPr>
              <w:t>Risk, remediation, and decision</w:t>
            </w:r>
          </w:p>
        </w:tc>
      </w:tr>
      <w:tr>
        <w:tc>
          <w:tcPr>
            <w:tcW w:type="dxa" w:w="2179"/>
            <w:vAlign w:val="top"/>
            <w:shd w:fill="F2E8EB"/>
          </w:tcPr>
          <w:p>
            <w:r>
              <w:rPr>
                <w:sz w:val="14"/>
              </w:rPr>
            </w:r>
          </w:p>
        </w:tc>
        <w:tc>
          <w:tcPr>
            <w:tcW w:type="dxa" w:w="2179"/>
            <w:vAlign w:val="top"/>
          </w:tcPr>
          <w:p>
            <w:r>
              <w:rPr>
                <w:sz w:val="14"/>
              </w:rPr>
            </w:r>
          </w:p>
        </w:tc>
        <w:tc>
          <w:tcPr>
            <w:tcW w:type="dxa" w:w="2179"/>
            <w:vAlign w:val="top"/>
          </w:tcPr>
          <w:p>
            <w:r>
              <w:rPr>
                <w:sz w:val="14"/>
              </w:rPr>
            </w:r>
          </w:p>
        </w:tc>
        <w:tc>
          <w:tcPr>
            <w:tcW w:type="dxa" w:w="2179"/>
            <w:vAlign w:val="top"/>
          </w:tcPr>
          <w:p>
            <w:r>
              <w:rPr>
                <w:sz w:val="14"/>
              </w:rPr>
            </w:r>
          </w:p>
        </w:tc>
        <w:tc>
          <w:tcPr>
            <w:tcW w:type="dxa" w:w="2179"/>
            <w:vAlign w:val="top"/>
          </w:tcPr>
          <w:p>
            <w:r>
              <w:rPr>
                <w:sz w:val="14"/>
              </w:rPr>
            </w:r>
          </w:p>
        </w:tc>
        <w:tc>
          <w:tcPr>
            <w:tcW w:type="dxa" w:w="2179"/>
            <w:vAlign w:val="top"/>
          </w:tcPr>
          <w:p>
            <w:r>
              <w:rPr>
                <w:sz w:val="14"/>
              </w:rPr>
            </w:r>
          </w:p>
        </w:tc>
        <w:tc>
          <w:tcPr>
            <w:tcW w:type="dxa" w:w="2179"/>
            <w:vAlign w:val="top"/>
          </w:tcPr>
          <w:p>
            <w:r>
              <w:rPr>
                <w:sz w:val="14"/>
              </w:rPr>
            </w:r>
          </w:p>
        </w:tc>
      </w:tr>
      <w:tr>
        <w:tc>
          <w:tcPr>
            <w:tcW w:type="dxa" w:w="2179"/>
            <w:vAlign w:val="top"/>
            <w:shd w:fill="F2E8EB"/>
          </w:tcPr>
          <w:p>
            <w:r>
              <w:rPr>
                <w:sz w:val="14"/>
              </w:rPr>
            </w:r>
          </w:p>
        </w:tc>
        <w:tc>
          <w:tcPr>
            <w:tcW w:type="dxa" w:w="2179"/>
            <w:vAlign w:val="top"/>
          </w:tcPr>
          <w:p>
            <w:r>
              <w:rPr>
                <w:sz w:val="14"/>
              </w:rPr>
            </w:r>
          </w:p>
        </w:tc>
        <w:tc>
          <w:tcPr>
            <w:tcW w:type="dxa" w:w="2179"/>
            <w:vAlign w:val="top"/>
          </w:tcPr>
          <w:p>
            <w:r>
              <w:rPr>
                <w:sz w:val="14"/>
              </w:rPr>
            </w:r>
          </w:p>
        </w:tc>
        <w:tc>
          <w:tcPr>
            <w:tcW w:type="dxa" w:w="2179"/>
            <w:vAlign w:val="top"/>
          </w:tcPr>
          <w:p>
            <w:r>
              <w:rPr>
                <w:sz w:val="14"/>
              </w:rPr>
            </w:r>
          </w:p>
        </w:tc>
        <w:tc>
          <w:tcPr>
            <w:tcW w:type="dxa" w:w="2179"/>
            <w:vAlign w:val="top"/>
          </w:tcPr>
          <w:p>
            <w:r>
              <w:rPr>
                <w:sz w:val="14"/>
              </w:rPr>
            </w:r>
          </w:p>
        </w:tc>
        <w:tc>
          <w:tcPr>
            <w:tcW w:type="dxa" w:w="2179"/>
            <w:vAlign w:val="top"/>
          </w:tcPr>
          <w:p>
            <w:r>
              <w:rPr>
                <w:sz w:val="14"/>
              </w:rPr>
            </w:r>
          </w:p>
        </w:tc>
        <w:tc>
          <w:tcPr>
            <w:tcW w:type="dxa" w:w="2179"/>
            <w:vAlign w:val="top"/>
          </w:tcPr>
          <w:p>
            <w:r>
              <w:rPr>
                <w:sz w:val="14"/>
              </w:rPr>
            </w:r>
          </w:p>
        </w:tc>
      </w:tr>
      <w:tr>
        <w:tc>
          <w:tcPr>
            <w:tcW w:type="dxa" w:w="2179"/>
            <w:vAlign w:val="top"/>
            <w:shd w:fill="F2E8EB"/>
          </w:tcPr>
          <w:p>
            <w:r>
              <w:rPr>
                <w:sz w:val="14"/>
              </w:rPr>
            </w:r>
          </w:p>
        </w:tc>
        <w:tc>
          <w:tcPr>
            <w:tcW w:type="dxa" w:w="2179"/>
            <w:vAlign w:val="top"/>
          </w:tcPr>
          <w:p>
            <w:r>
              <w:rPr>
                <w:sz w:val="14"/>
              </w:rPr>
            </w:r>
          </w:p>
        </w:tc>
        <w:tc>
          <w:tcPr>
            <w:tcW w:type="dxa" w:w="2179"/>
            <w:vAlign w:val="top"/>
          </w:tcPr>
          <w:p>
            <w:r>
              <w:rPr>
                <w:sz w:val="14"/>
              </w:rPr>
            </w:r>
          </w:p>
        </w:tc>
        <w:tc>
          <w:tcPr>
            <w:tcW w:type="dxa" w:w="2179"/>
            <w:vAlign w:val="top"/>
          </w:tcPr>
          <w:p>
            <w:r>
              <w:rPr>
                <w:sz w:val="14"/>
              </w:rPr>
            </w:r>
          </w:p>
        </w:tc>
        <w:tc>
          <w:tcPr>
            <w:tcW w:type="dxa" w:w="2179"/>
            <w:vAlign w:val="top"/>
          </w:tcPr>
          <w:p>
            <w:r>
              <w:rPr>
                <w:sz w:val="14"/>
              </w:rPr>
            </w:r>
          </w:p>
        </w:tc>
        <w:tc>
          <w:tcPr>
            <w:tcW w:type="dxa" w:w="2179"/>
            <w:vAlign w:val="top"/>
          </w:tcPr>
          <w:p>
            <w:r>
              <w:rPr>
                <w:sz w:val="14"/>
              </w:rPr>
            </w:r>
          </w:p>
        </w:tc>
        <w:tc>
          <w:tcPr>
            <w:tcW w:type="dxa" w:w="2179"/>
            <w:vAlign w:val="top"/>
          </w:tcPr>
          <w:p>
            <w:r>
              <w:rPr>
                <w:sz w:val="14"/>
              </w:rPr>
            </w:r>
          </w:p>
        </w:tc>
      </w:tr>
    </w:tbl>
    <w:p>
      <w:r/>
    </w:p>
    <w:p>
      <w:pPr>
        <w:pStyle w:val="Heading1"/>
      </w:pPr>
      <w:r>
        <w:t>Worked synthetic example</w:t>
      </w:r>
    </w:p>
    <w:p>
      <w:r>
        <w:t>This example demonstrates completion logic only. It is not an empirical finding and should not be reused as institutional evidence.</w:t>
      </w:r>
    </w:p>
    <w:tbl>
      <w:tblPr>
        <w:tblStyle w:val="TableGrid"/>
        <w:tblW w:type="auto" w:w="0"/>
        <w:jc w:val="centre"/>
        <w:tblLook w:firstColumn="1" w:firstRow="1" w:lastColumn="0" w:lastRow="0" w:noHBand="0" w:noVBand="1" w:val="04A0"/>
      </w:tblPr>
      <w:tblGrid>
        <w:gridCol w:w="2179"/>
        <w:gridCol w:w="2179"/>
        <w:gridCol w:w="2179"/>
        <w:gridCol w:w="2179"/>
        <w:gridCol w:w="2179"/>
        <w:gridCol w:w="2179"/>
        <w:gridCol w:w="2179"/>
      </w:tblGrid>
      <w:tr>
        <w:trPr>
          <w:tblHeader w:val="true"/>
        </w:trPr>
        <w:tc>
          <w:tcPr>
            <w:tcW w:type="dxa" w:w="2179"/>
            <w:shd w:fill="52565A"/>
          </w:tcPr>
          <w:p>
            <w:r>
              <w:rPr>
                <w:b/>
                <w:color w:val="FFFFFF"/>
                <w:sz w:val="15"/>
              </w:rPr>
              <w:t>Source or derived asset</w:t>
            </w:r>
          </w:p>
        </w:tc>
        <w:tc>
          <w:tcPr>
            <w:tcW w:type="dxa" w:w="2179"/>
            <w:shd w:fill="52565A"/>
          </w:tcPr>
          <w:p>
            <w:r>
              <w:rPr>
                <w:b/>
                <w:color w:val="FFFFFF"/>
                <w:sz w:val="15"/>
              </w:rPr>
              <w:t>Purpose and required timing</w:t>
            </w:r>
          </w:p>
        </w:tc>
        <w:tc>
          <w:tcPr>
            <w:tcW w:type="dxa" w:w="2179"/>
            <w:shd w:fill="52565A"/>
          </w:tcPr>
          <w:p>
            <w:r>
              <w:rPr>
                <w:b/>
                <w:color w:val="FFFFFF"/>
                <w:sz w:val="15"/>
              </w:rPr>
              <w:t>Authority and steward</w:t>
            </w:r>
          </w:p>
        </w:tc>
        <w:tc>
          <w:tcPr>
            <w:tcW w:type="dxa" w:w="2179"/>
            <w:shd w:fill="52565A"/>
          </w:tcPr>
          <w:p>
            <w:r>
              <w:rPr>
                <w:b/>
                <w:color w:val="FFFFFF"/>
                <w:sz w:val="15"/>
              </w:rPr>
              <w:t>Definition, units, and transformations</w:t>
            </w:r>
          </w:p>
        </w:tc>
        <w:tc>
          <w:tcPr>
            <w:tcW w:type="dxa" w:w="2179"/>
            <w:shd w:fill="52565A"/>
          </w:tcPr>
          <w:p>
            <w:r>
              <w:rPr>
                <w:b/>
                <w:color w:val="FFFFFF"/>
                <w:sz w:val="15"/>
              </w:rPr>
              <w:t>Completeness, plausibility, and representativeness</w:t>
            </w:r>
          </w:p>
        </w:tc>
        <w:tc>
          <w:tcPr>
            <w:tcW w:type="dxa" w:w="2179"/>
            <w:shd w:fill="52565A"/>
          </w:tcPr>
          <w:p>
            <w:r>
              <w:rPr>
                <w:b/>
                <w:color w:val="FFFFFF"/>
                <w:sz w:val="15"/>
              </w:rPr>
              <w:t>Lineage, version, and monitoring</w:t>
            </w:r>
          </w:p>
        </w:tc>
        <w:tc>
          <w:tcPr>
            <w:tcW w:type="dxa" w:w="2179"/>
            <w:shd w:fill="52565A"/>
          </w:tcPr>
          <w:p>
            <w:r>
              <w:rPr>
                <w:b/>
                <w:color w:val="FFFFFF"/>
                <w:sz w:val="15"/>
              </w:rPr>
              <w:t>Risk, remediation, and decision</w:t>
            </w:r>
          </w:p>
        </w:tc>
      </w:tr>
      <w:tr>
        <w:tc>
          <w:tcPr>
            <w:tcW w:type="dxa" w:w="2179"/>
            <w:vAlign w:val="top"/>
            <w:shd w:fill="EFEFEF"/>
          </w:tcPr>
          <w:p>
            <w:r>
              <w:rPr>
                <w:sz w:val="14"/>
              </w:rPr>
              <w:t>Emergency-department encounter feed</w:t>
            </w:r>
          </w:p>
        </w:tc>
        <w:tc>
          <w:tcPr>
            <w:tcW w:type="dxa" w:w="2179"/>
            <w:vAlign w:val="top"/>
          </w:tcPr>
          <w:p>
            <w:r>
              <w:rPr>
                <w:sz w:val="14"/>
              </w:rPr>
              <w:t>Support the defined institutional decision and monitoring requirement.</w:t>
            </w:r>
          </w:p>
        </w:tc>
        <w:tc>
          <w:tcPr>
            <w:tcW w:type="dxa" w:w="2179"/>
            <w:vAlign w:val="top"/>
          </w:tcPr>
          <w:p>
            <w:r>
              <w:rPr>
                <w:sz w:val="14"/>
              </w:rPr>
              <w:t>Clinical service lead</w:t>
            </w:r>
          </w:p>
        </w:tc>
        <w:tc>
          <w:tcPr>
            <w:tcW w:type="dxa" w:w="2179"/>
            <w:vAlign w:val="top"/>
          </w:tcPr>
          <w:p>
            <w:r>
              <w:rPr>
                <w:sz w:val="14"/>
              </w:rPr>
              <w:t>Emergency-department encounter feed: monthly rate per 1,000 eligible encounters.</w:t>
            </w:r>
          </w:p>
        </w:tc>
        <w:tc>
          <w:tcPr>
            <w:tcW w:type="dxa" w:w="2179"/>
            <w:vAlign w:val="top"/>
          </w:tcPr>
          <w:p>
            <w:r>
              <w:rPr>
                <w:sz w:val="14"/>
              </w:rPr>
              <w:t>Synthetic example for Emergency-department encounter feed; replace with local evidence.</w:t>
            </w:r>
          </w:p>
        </w:tc>
        <w:tc>
          <w:tcPr>
            <w:tcW w:type="dxa" w:w="2179"/>
            <w:vAlign w:val="top"/>
          </w:tcPr>
          <w:p>
            <w:r>
              <w:rPr>
                <w:sz w:val="14"/>
              </w:rPr>
              <w:t>Synthetic example for Emergency-department encounter feed; replace with local evidence.</w:t>
            </w:r>
          </w:p>
        </w:tc>
        <w:tc>
          <w:tcPr>
            <w:tcW w:type="dxa" w:w="2179"/>
            <w:vAlign w:val="top"/>
          </w:tcPr>
          <w:p>
            <w:r>
              <w:rPr>
                <w:sz w:val="14"/>
              </w:rPr>
              <w:t>Moderate residual risk; remediate before scale and review monthly during pilot.</w:t>
            </w:r>
          </w:p>
        </w:tc>
      </w:tr>
      <w:tr>
        <w:tc>
          <w:tcPr>
            <w:tcW w:type="dxa" w:w="2179"/>
            <w:vAlign w:val="top"/>
            <w:shd w:fill="EFEFEF"/>
          </w:tcPr>
          <w:p>
            <w:r>
              <w:rPr>
                <w:sz w:val="14"/>
              </w:rPr>
              <w:t>Laboratory result feed</w:t>
            </w:r>
          </w:p>
        </w:tc>
        <w:tc>
          <w:tcPr>
            <w:tcW w:type="dxa" w:w="2179"/>
            <w:vAlign w:val="top"/>
          </w:tcPr>
          <w:p>
            <w:r>
              <w:rPr>
                <w:sz w:val="14"/>
              </w:rPr>
              <w:t>Support the defined institutional decision and monitoring requirement.</w:t>
            </w:r>
          </w:p>
        </w:tc>
        <w:tc>
          <w:tcPr>
            <w:tcW w:type="dxa" w:w="2179"/>
            <w:vAlign w:val="top"/>
          </w:tcPr>
          <w:p>
            <w:r>
              <w:rPr>
                <w:sz w:val="14"/>
              </w:rPr>
              <w:t>Quality lead</w:t>
            </w:r>
          </w:p>
        </w:tc>
        <w:tc>
          <w:tcPr>
            <w:tcW w:type="dxa" w:w="2179"/>
            <w:vAlign w:val="top"/>
          </w:tcPr>
          <w:p>
            <w:r>
              <w:rPr>
                <w:sz w:val="14"/>
              </w:rPr>
              <w:t>Laboratory result feed: monthly rate per 1,000 eligible encounters.</w:t>
            </w:r>
          </w:p>
        </w:tc>
        <w:tc>
          <w:tcPr>
            <w:tcW w:type="dxa" w:w="2179"/>
            <w:vAlign w:val="top"/>
          </w:tcPr>
          <w:p>
            <w:r>
              <w:rPr>
                <w:sz w:val="14"/>
              </w:rPr>
              <w:t>Synthetic example for Laboratory result feed; replace with local evidence.</w:t>
            </w:r>
          </w:p>
        </w:tc>
        <w:tc>
          <w:tcPr>
            <w:tcW w:type="dxa" w:w="2179"/>
            <w:vAlign w:val="top"/>
          </w:tcPr>
          <w:p>
            <w:r>
              <w:rPr>
                <w:sz w:val="14"/>
              </w:rPr>
              <w:t>Synthetic example for Laboratory result feed; replace with local evidence.</w:t>
            </w:r>
          </w:p>
        </w:tc>
        <w:tc>
          <w:tcPr>
            <w:tcW w:type="dxa" w:w="2179"/>
            <w:vAlign w:val="top"/>
          </w:tcPr>
          <w:p>
            <w:r>
              <w:rPr>
                <w:sz w:val="14"/>
              </w:rPr>
              <w:t>Moderate residual risk; remediate before scale and review monthly during pilot.</w:t>
            </w:r>
          </w:p>
        </w:tc>
      </w:tr>
      <w:tr>
        <w:tc>
          <w:tcPr>
            <w:tcW w:type="dxa" w:w="2179"/>
            <w:vAlign w:val="top"/>
            <w:shd w:fill="EFEFEF"/>
          </w:tcPr>
          <w:p>
            <w:r>
              <w:rPr>
                <w:sz w:val="14"/>
              </w:rPr>
              <w:t>Derived risk score</w:t>
            </w:r>
          </w:p>
        </w:tc>
        <w:tc>
          <w:tcPr>
            <w:tcW w:type="dxa" w:w="2179"/>
            <w:vAlign w:val="top"/>
          </w:tcPr>
          <w:p>
            <w:r>
              <w:rPr>
                <w:sz w:val="14"/>
              </w:rPr>
              <w:t>Support the defined institutional decision and monitoring requirement.</w:t>
            </w:r>
          </w:p>
        </w:tc>
        <w:tc>
          <w:tcPr>
            <w:tcW w:type="dxa" w:w="2179"/>
            <w:vAlign w:val="top"/>
          </w:tcPr>
          <w:p>
            <w:r>
              <w:rPr>
                <w:sz w:val="14"/>
              </w:rPr>
              <w:t>Data steward</w:t>
            </w:r>
          </w:p>
        </w:tc>
        <w:tc>
          <w:tcPr>
            <w:tcW w:type="dxa" w:w="2179"/>
            <w:vAlign w:val="top"/>
          </w:tcPr>
          <w:p>
            <w:r>
              <w:rPr>
                <w:sz w:val="14"/>
              </w:rPr>
              <w:t>Derived risk score: monthly rate per 1,000 eligible encounters.</w:t>
            </w:r>
          </w:p>
        </w:tc>
        <w:tc>
          <w:tcPr>
            <w:tcW w:type="dxa" w:w="2179"/>
            <w:vAlign w:val="top"/>
          </w:tcPr>
          <w:p>
            <w:r>
              <w:rPr>
                <w:sz w:val="14"/>
              </w:rPr>
              <w:t>Synthetic example for Derived risk score; replace with local evidence.</w:t>
            </w:r>
          </w:p>
        </w:tc>
        <w:tc>
          <w:tcPr>
            <w:tcW w:type="dxa" w:w="2179"/>
            <w:vAlign w:val="top"/>
          </w:tcPr>
          <w:p>
            <w:r>
              <w:rPr>
                <w:sz w:val="14"/>
              </w:rPr>
              <w:t>Synthetic example for Derived risk score; replace with local evidence.</w:t>
            </w:r>
          </w:p>
        </w:tc>
        <w:tc>
          <w:tcPr>
            <w:tcW w:type="dxa" w:w="2179"/>
            <w:vAlign w:val="top"/>
          </w:tcPr>
          <w:p>
            <w:r>
              <w:rPr>
                <w:sz w:val="14"/>
              </w:rPr>
              <w:t>Moderate residual risk; remediate before scale and review monthly during pilot.</w:t>
            </w:r>
          </w:p>
        </w:tc>
      </w:tr>
    </w:tbl>
    <w:sectPr w:rsidR="00FC693F" w:rsidRPr="0006063C" w:rsidSect="00034616">
      <w:footerReference w:type="default" r:id="rId9"/>
      <w:headerReference w:type="default" r:id="rId10"/>
      <w:pgSz w:w="16834" w:h="11909" w:orient="landscape"/>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re"/>
    </w:pPr>
    <w:r>
      <w:rPr>
        <w:color w:val="5F5A5B"/>
        <w:sz w:val="15"/>
      </w:rPr>
      <w:t>Muthana Zouri · Carmen Marinela Cumpăt · Grigore T. Popa University of Medicine and Pharmacy Publishing House ·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re"/>
    </w:pPr>
    <w:r/>
    <w:r>
      <w:rPr>
        <w:rFonts w:ascii="Georgia" w:hAnsi="Georgia"/>
        <w:b/>
        <w:color w:val="7B1734"/>
        <w:sz w:val="17"/>
      </w:rPr>
      <w:t>Artificial Intelligence and Healthcare Economics</w:t>
    </w:r>
    <w:r>
      <w:rPr>
        <w:color w:val="5F5A5B"/>
        <w:sz w:val="16"/>
      </w:rPr>
      <w:t xml:space="preserve"> · Digital Resource Companion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re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re"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re"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Office document</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CharactersWithSpaces>0</ns0:CharactersWithSpaces>
  <ns0:SharedDoc>false</ns0:SharedDoc>
  <ns0:HyperlinkBase/>
  <ns0:HyperlinksChanged>false</ns0:HyperlinksChanged>
  <ns0:AppVersion/>
</ns0:Properties>
</file>

<file path=docProps/core.xml><?xml version="1.0" encoding="utf-8"?>
<ns0:coreProperties xmlns:dc="http://purl.org/dc/elements/1.1/" xmlns:ns0="http://schemas.openxmlformats.org/package/2006/metadata/core-properties" xmlns:ns2="http://purl.org/dc/terms/" xmlns:xsi="http://www.w3.org/2001/XMLSchema-instance">
  <dc:title>AIHE-A04 template and worked example</dc:title>
  <dc:creator>Muthana Zouri; Carmen Marinela Cumpăt</dc:creator>
  <ns0:lastModifiedBy/>
  <ns2:created xsi:type="dcterms:W3CDTF">2026-08-06T00:00:00Z</ns2:created>
  <ns2:modified xsi:type="dcterms:W3CDTF">2026-08-06T00:00:00Z</ns2:modified>
  <dc:description/>
  <dc:subject>Evidence, Value, Governance, and Sustainability</dc:subject>
  <ns0:category>Digital Resource Companion</ns0:category>
  <ns0:keywords>healthcare economics; artificial intelligence; governance; sustainable value</ns0:keywords>
</ns0:coreProperties>
</file>