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AIHE-Z — ROI and Workflow Value Worksheet</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AIHE-Z</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4: Productivity, Workforce Redesign, and Implementation; Chapter 6: Lifecycle Cost, Pricing, and Benefit Realization; Chapter 7: Economic Evaluation, Affordability, and HTA</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Input</w:t>
            </w:r>
          </w:p>
        </w:tc>
        <w:tc>
          <w:tcPr>
            <w:tcW w:type="dxa" w:w="3456"/>
            <w:vAlign w:val="centre"/>
            <w:tcMar>
              <w:top w:w="80" w:type="dxa"/>
              <w:start w:w="80" w:type="dxa"/>
              <w:bottom w:w="80" w:type="dxa"/>
              <w:end w:w="80" w:type="dxa"/>
            </w:tcMar>
            <w:shd w:fill="D9EAF7"/>
          </w:tcPr>
          <w:p>
            <w:r>
              <w:rPr>
                <w:b/>
              </w:rPr>
              <w:t>Amount or evidence</w:t>
            </w:r>
          </w:p>
        </w:tc>
        <w:tc>
          <w:tcPr>
            <w:tcW w:type="dxa" w:w="3456"/>
            <w:vAlign w:val="centre"/>
            <w:tcMar>
              <w:top w:w="80" w:type="dxa"/>
              <w:start w:w="80" w:type="dxa"/>
              <w:bottom w:w="80" w:type="dxa"/>
              <w:end w:w="80" w:type="dxa"/>
            </w:tcMar>
            <w:shd w:fill="D9EAF7"/>
          </w:tcPr>
          <w:p>
            <w:r>
              <w:rPr>
                <w:b/>
              </w:rPr>
              <w:t>Notes</w:t>
            </w:r>
          </w:p>
        </w:tc>
      </w:tr>
      <w:tr>
        <w:tc>
          <w:tcPr>
            <w:tcW w:type="dxa" w:w="3456"/>
            <w:vAlign w:val="centre"/>
            <w:tcMar>
              <w:top w:w="80" w:type="dxa"/>
              <w:start w:w="80" w:type="dxa"/>
              <w:bottom w:w="80" w:type="dxa"/>
              <w:end w:w="80" w:type="dxa"/>
            </w:tcMar>
          </w:tcPr>
          <w:p>
            <w:r>
              <w:t>Total lifecycle cost</w:t>
            </w:r>
          </w:p>
        </w:tc>
        <w:tc>
          <w:tcPr>
            <w:tcW w:type="dxa" w:w="3456"/>
            <w:vAlign w:val="centre"/>
            <w:tcMar>
              <w:top w:w="80" w:type="dxa"/>
              <w:start w:w="80" w:type="dxa"/>
              <w:bottom w:w="80" w:type="dxa"/>
              <w:end w:w="80" w:type="dxa"/>
            </w:tcMar>
          </w:tcPr>
          <w:p>
            <w:r>
              <w:t>195000</w:t>
            </w:r>
          </w:p>
        </w:tc>
        <w:tc>
          <w:tcPr>
            <w:tcW w:type="dxa" w:w="3456"/>
            <w:vAlign w:val="centre"/>
            <w:tcMar>
              <w:top w:w="80" w:type="dxa"/>
              <w:start w:w="80" w:type="dxa"/>
              <w:bottom w:w="80" w:type="dxa"/>
              <w:end w:w="80" w:type="dxa"/>
            </w:tcMar>
          </w:tcPr>
          <w:p>
            <w:r>
              <w:t>195000</w:t>
            </w:r>
          </w:p>
        </w:tc>
      </w:tr>
      <w:tr>
        <w:tc>
          <w:tcPr>
            <w:tcW w:type="dxa" w:w="3456"/>
            <w:vAlign w:val="centre"/>
            <w:tcMar>
              <w:top w:w="80" w:type="dxa"/>
              <w:start w:w="80" w:type="dxa"/>
              <w:bottom w:w="80" w:type="dxa"/>
              <w:end w:w="80" w:type="dxa"/>
            </w:tcMar>
          </w:tcPr>
          <w:p>
            <w:r>
              <w:t>Time savings</w:t>
            </w:r>
          </w:p>
        </w:tc>
        <w:tc>
          <w:tcPr>
            <w:tcW w:type="dxa" w:w="3456"/>
            <w:vAlign w:val="centre"/>
            <w:tcMar>
              <w:top w:w="80" w:type="dxa"/>
              <w:start w:w="80" w:type="dxa"/>
              <w:bottom w:w="80" w:type="dxa"/>
              <w:end w:w="80" w:type="dxa"/>
            </w:tcMar>
          </w:tcPr>
          <w:p>
            <w:r>
              <w:t>EUR 120,000 equivalent gross time value; EUR 70,000 realizable capacity.</w:t>
            </w:r>
          </w:p>
        </w:tc>
        <w:tc>
          <w:tcPr>
            <w:tcW w:type="dxa" w:w="3456"/>
            <w:vAlign w:val="centre"/>
            <w:tcMar>
              <w:top w:w="80" w:type="dxa"/>
              <w:start w:w="80" w:type="dxa"/>
              <w:bottom w:w="80" w:type="dxa"/>
              <w:end w:w="80" w:type="dxa"/>
            </w:tcMar>
          </w:tcPr>
          <w:p>
            <w:r>
              <w:t>EUR 120,000 equivalent gross time value; EUR 70,000 realizable capacity.</w:t>
            </w:r>
          </w:p>
        </w:tc>
      </w:tr>
      <w:tr>
        <w:tc>
          <w:tcPr>
            <w:tcW w:type="dxa" w:w="3456"/>
            <w:vAlign w:val="centre"/>
            <w:tcMar>
              <w:top w:w="80" w:type="dxa"/>
              <w:start w:w="80" w:type="dxa"/>
              <w:bottom w:w="80" w:type="dxa"/>
              <w:end w:w="80" w:type="dxa"/>
            </w:tcMar>
          </w:tcPr>
          <w:p>
            <w:r>
              <w:t>Avoided events</w:t>
            </w:r>
          </w:p>
        </w:tc>
        <w:tc>
          <w:tcPr>
            <w:tcW w:type="dxa" w:w="3456"/>
            <w:vAlign w:val="centre"/>
            <w:tcMar>
              <w:top w:w="80" w:type="dxa"/>
              <w:start w:w="80" w:type="dxa"/>
              <w:bottom w:w="80" w:type="dxa"/>
              <w:end w:w="80" w:type="dxa"/>
            </w:tcMar>
          </w:tcPr>
          <w:p>
            <w:r>
              <w:t>10 readmissions × EUR 8,000 = EUR 80,000.</w:t>
            </w:r>
          </w:p>
        </w:tc>
        <w:tc>
          <w:tcPr>
            <w:tcW w:type="dxa" w:w="3456"/>
            <w:vAlign w:val="centre"/>
            <w:tcMar>
              <w:top w:w="80" w:type="dxa"/>
              <w:start w:w="80" w:type="dxa"/>
              <w:bottom w:w="80" w:type="dxa"/>
              <w:end w:w="80" w:type="dxa"/>
            </w:tcMar>
          </w:tcPr>
          <w:p>
            <w:r>
              <w:t>10 readmissions × EUR 8,000 = EUR 80,000.</w:t>
            </w:r>
          </w:p>
        </w:tc>
      </w:tr>
      <w:tr>
        <w:tc>
          <w:tcPr>
            <w:tcW w:type="dxa" w:w="3456"/>
            <w:vAlign w:val="centre"/>
            <w:tcMar>
              <w:top w:w="80" w:type="dxa"/>
              <w:start w:w="80" w:type="dxa"/>
              <w:bottom w:w="80" w:type="dxa"/>
              <w:end w:w="80" w:type="dxa"/>
            </w:tcMar>
          </w:tcPr>
          <w:p>
            <w:r>
              <w:t>Administrative savings</w:t>
            </w:r>
          </w:p>
        </w:tc>
        <w:tc>
          <w:tcPr>
            <w:tcW w:type="dxa" w:w="3456"/>
            <w:vAlign w:val="centre"/>
            <w:tcMar>
              <w:top w:w="80" w:type="dxa"/>
              <w:start w:w="80" w:type="dxa"/>
              <w:bottom w:w="80" w:type="dxa"/>
              <w:end w:w="80" w:type="dxa"/>
            </w:tcMar>
          </w:tcPr>
          <w:p>
            <w:r>
              <w:t>EUR 40,000 after verification and rework.</w:t>
            </w:r>
          </w:p>
        </w:tc>
        <w:tc>
          <w:tcPr>
            <w:tcW w:type="dxa" w:w="3456"/>
            <w:vAlign w:val="centre"/>
            <w:tcMar>
              <w:top w:w="80" w:type="dxa"/>
              <w:start w:w="80" w:type="dxa"/>
              <w:bottom w:w="80" w:type="dxa"/>
              <w:end w:w="80" w:type="dxa"/>
            </w:tcMar>
          </w:tcPr>
          <w:p>
            <w:r>
              <w:t>EUR 40,000 after verification and rework.</w:t>
            </w:r>
          </w:p>
        </w:tc>
      </w:tr>
      <w:tr>
        <w:tc>
          <w:tcPr>
            <w:tcW w:type="dxa" w:w="3456"/>
            <w:vAlign w:val="centre"/>
            <w:tcMar>
              <w:top w:w="80" w:type="dxa"/>
              <w:start w:w="80" w:type="dxa"/>
              <w:bottom w:w="80" w:type="dxa"/>
              <w:end w:w="80" w:type="dxa"/>
            </w:tcMar>
          </w:tcPr>
          <w:p>
            <w:r>
              <w:t>Quality and access benefits</w:t>
            </w:r>
          </w:p>
        </w:tc>
        <w:tc>
          <w:tcPr>
            <w:tcW w:type="dxa" w:w="3456"/>
            <w:vAlign w:val="centre"/>
            <w:tcMar>
              <w:top w:w="80" w:type="dxa"/>
              <w:start w:w="80" w:type="dxa"/>
              <w:bottom w:w="80" w:type="dxa"/>
              <w:end w:w="80" w:type="dxa"/>
            </w:tcMar>
          </w:tcPr>
          <w:p>
            <w:r>
              <w:t>Improved targeting and follow-up completion; not monetized in base case.</w:t>
            </w:r>
          </w:p>
        </w:tc>
        <w:tc>
          <w:tcPr>
            <w:tcW w:type="dxa" w:w="3456"/>
            <w:vAlign w:val="centre"/>
            <w:tcMar>
              <w:top w:w="80" w:type="dxa"/>
              <w:start w:w="80" w:type="dxa"/>
              <w:bottom w:w="80" w:type="dxa"/>
              <w:end w:w="80" w:type="dxa"/>
            </w:tcMar>
          </w:tcPr>
          <w:p>
            <w:r>
              <w:t>Improved targeting and follow-up completion; not monetized in base case.</w:t>
            </w:r>
          </w:p>
        </w:tc>
      </w:tr>
      <w:tr>
        <w:tc>
          <w:tcPr>
            <w:tcW w:type="dxa" w:w="3456"/>
            <w:vAlign w:val="centre"/>
            <w:tcMar>
              <w:top w:w="80" w:type="dxa"/>
              <w:start w:w="80" w:type="dxa"/>
              <w:bottom w:w="80" w:type="dxa"/>
              <w:end w:w="80" w:type="dxa"/>
            </w:tcMar>
          </w:tcPr>
          <w:p>
            <w:r>
              <w:t>Net benefit</w:t>
            </w:r>
          </w:p>
        </w:tc>
        <w:tc>
          <w:tcPr>
            <w:tcW w:type="dxa" w:w="3456"/>
            <w:vAlign w:val="centre"/>
            <w:tcMar>
              <w:top w:w="80" w:type="dxa"/>
              <w:start w:w="80" w:type="dxa"/>
              <w:bottom w:w="80" w:type="dxa"/>
              <w:end w:w="80" w:type="dxa"/>
            </w:tcMar>
          </w:tcPr>
          <w:p>
            <w:r>
              <w:t>25000</w:t>
            </w:r>
          </w:p>
        </w:tc>
        <w:tc>
          <w:tcPr>
            <w:tcW w:type="dxa" w:w="3456"/>
            <w:vAlign w:val="centre"/>
            <w:tcMar>
              <w:top w:w="80" w:type="dxa"/>
              <w:start w:w="80" w:type="dxa"/>
              <w:bottom w:w="80" w:type="dxa"/>
              <w:end w:w="80" w:type="dxa"/>
            </w:tcMar>
          </w:tcPr>
          <w:p>
            <w:r>
              <w:t>25000</w:t>
            </w:r>
          </w:p>
        </w:tc>
      </w:tr>
      <w:tr>
        <w:tc>
          <w:tcPr>
            <w:tcW w:type="dxa" w:w="3456"/>
            <w:vAlign w:val="centre"/>
            <w:tcMar>
              <w:top w:w="80" w:type="dxa"/>
              <w:start w:w="80" w:type="dxa"/>
              <w:bottom w:w="80" w:type="dxa"/>
              <w:end w:w="80" w:type="dxa"/>
            </w:tcMar>
          </w:tcPr>
          <w:p>
            <w:r>
              <w:t>ROI</w:t>
            </w:r>
          </w:p>
        </w:tc>
        <w:tc>
          <w:tcPr>
            <w:tcW w:type="dxa" w:w="3456"/>
            <w:vAlign w:val="centre"/>
            <w:tcMar>
              <w:top w:w="80" w:type="dxa"/>
              <w:start w:w="80" w:type="dxa"/>
              <w:bottom w:w="80" w:type="dxa"/>
              <w:end w:w="80" w:type="dxa"/>
            </w:tcMar>
          </w:tcPr>
          <w:p>
            <w:r>
              <w:t>12.8%</w:t>
            </w:r>
          </w:p>
        </w:tc>
        <w:tc>
          <w:tcPr>
            <w:tcW w:type="dxa" w:w="3456"/>
            <w:vAlign w:val="centre"/>
            <w:tcMar>
              <w:top w:w="80" w:type="dxa"/>
              <w:start w:w="80" w:type="dxa"/>
              <w:bottom w:w="80" w:type="dxa"/>
              <w:end w:w="80" w:type="dxa"/>
            </w:tcMar>
          </w:tcPr>
          <w:p>
            <w:r>
              <w:t>12.8%</w:t>
            </w:r>
          </w:p>
        </w:tc>
      </w:tr>
      <w:tr>
        <w:tc>
          <w:tcPr>
            <w:tcW w:type="dxa" w:w="3456"/>
            <w:vAlign w:val="centre"/>
            <w:tcMar>
              <w:top w:w="80" w:type="dxa"/>
              <w:start w:w="80" w:type="dxa"/>
              <w:bottom w:w="80" w:type="dxa"/>
              <w:end w:w="80" w:type="dxa"/>
            </w:tcMar>
          </w:tcPr>
          <w:p>
            <w:r>
              <w:t>Limitations</w:t>
            </w:r>
          </w:p>
        </w:tc>
        <w:tc>
          <w:tcPr>
            <w:tcW w:type="dxa" w:w="3456"/>
            <w:vAlign w:val="centre"/>
            <w:tcMar>
              <w:top w:w="80" w:type="dxa"/>
              <w:start w:w="80" w:type="dxa"/>
              <w:bottom w:w="80" w:type="dxa"/>
              <w:end w:w="80" w:type="dxa"/>
            </w:tcMar>
          </w:tcPr>
          <w:p>
            <w:r>
              <w:t>Illustrative only; causal attribution, capacity, and subgroup effects remain uncertain.</w:t>
            </w:r>
          </w:p>
        </w:tc>
        <w:tc>
          <w:tcPr>
            <w:tcW w:type="dxa" w:w="3456"/>
            <w:vAlign w:val="centre"/>
            <w:tcMar>
              <w:top w:w="80" w:type="dxa"/>
              <w:start w:w="80" w:type="dxa"/>
              <w:bottom w:w="80" w:type="dxa"/>
              <w:end w:w="80" w:type="dxa"/>
            </w:tcMar>
          </w:tcPr>
          <w:p>
            <w:r>
              <w:t>Illustrative only; causal attribution, capacity, and subgroup effects remain uncertain.</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AIHE-Z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