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Corrective and Preventive Action Record</w:t>
      </w:r>
    </w:p>
    <w:p>
      <w:pPr>
        <w:jc w:val="centre"/>
      </w:pPr>
      <w:r>
        <w:rPr>
          <w:b/>
          <w:color w:val="7A2334"/>
        </w:rPr>
        <w:t>AIHE-C02</w:t>
      </w:r>
    </w:p>
    <w:p>
      <w:pPr>
        <w:spacing w:after="40"/>
      </w:pPr>
      <w:r>
        <w:rPr>
          <w:b/>
        </w:rPr>
        <w:t xml:space="preserve">Primary chapter: </w:t>
      </w:r>
      <w:r>
        <w:t>5 — Quality, Accreditation, and Organizational Learning</w:t>
      </w:r>
    </w:p>
    <w:p>
      <w:pPr>
        <w:spacing w:after="40"/>
      </w:pPr>
      <w:r>
        <w:rPr>
          <w:b/>
        </w:rPr>
        <w:t xml:space="preserve">Additional chapter alignment: </w:t>
      </w:r>
      <w:r>
        <w:t>5, 10, 12</w:t>
      </w:r>
    </w:p>
    <w:p>
      <w:pPr>
        <w:spacing w:after="40"/>
      </w:pPr>
      <w:r>
        <w:rPr>
          <w:b/>
        </w:rPr>
        <w:t xml:space="preserve">Legacy aliases: </w:t>
      </w:r>
      <w:r>
        <w:t>None</w:t>
      </w:r>
    </w:p>
    <w:p>
      <w:pPr>
        <w:spacing w:after="40"/>
      </w:pPr>
      <w:r>
        <w:rPr>
          <w:b/>
        </w:rPr>
        <w:t xml:space="preserve">Version: </w:t>
      </w:r>
      <w:r>
        <w:t>V1.0</w:t>
      </w:r>
    </w:p>
    <w:p>
      <w:pPr>
        <w:pStyle w:val="Heading1"/>
      </w:pPr>
      <w:r>
        <w:t>Purpose</w:t>
      </w:r>
    </w:p>
    <w:p>
      <w:r>
        <w:t>Document nonconformity, containment, causal analysis, corrective and preventive action, effectiveness, residual risk, and closure.</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7A2334"/>
          </w:tcPr>
          <w:p>
            <w:r>
              <w:rPr>
                <w:b/>
                <w:color w:val="FFFFFF"/>
                <w:sz w:val="18"/>
              </w:rPr>
              <w:t>Field</w:t>
            </w:r>
          </w:p>
        </w:tc>
        <w:tc>
          <w:tcPr>
            <w:tcW w:type="dxa" w:w="3360"/>
            <w:shd w:fill="7A2334"/>
          </w:tcPr>
          <w:p>
            <w:r>
              <w:rPr>
                <w:b/>
                <w:color w:val="FFFFFF"/>
                <w:sz w:val="18"/>
              </w:rPr>
              <w:t>Guidance</w:t>
            </w:r>
          </w:p>
        </w:tc>
        <w:tc>
          <w:tcPr>
            <w:tcW w:type="dxa" w:w="3360"/>
            <w:shd w:fill="7A2334"/>
          </w:tcPr>
          <w:p>
            <w:r>
              <w:rPr>
                <w:b/>
                <w:color w:val="FFFFFF"/>
                <w:sz w:val="18"/>
              </w:rPr>
              <w:t>Institutional response</w:t>
            </w:r>
          </w:p>
        </w:tc>
      </w:tr>
      <w:tr>
        <w:tc>
          <w:tcPr>
            <w:tcW w:type="dxa" w:w="3360"/>
            <w:vAlign w:val="top"/>
            <w:shd w:fill="F2E8EB"/>
          </w:tcPr>
          <w:p>
            <w:r>
              <w:rPr>
                <w:sz w:val="17"/>
              </w:rPr>
              <w:t>Signal or nonconformity</w:t>
            </w:r>
          </w:p>
        </w:tc>
        <w:tc>
          <w:tcPr>
            <w:tcW w:type="dxa" w:w="3360"/>
            <w:vAlign w:val="top"/>
          </w:tcPr>
          <w:p>
            <w:r>
              <w:rPr>
                <w:sz w:val="17"/>
              </w:rPr>
              <w:t>Describe the indicator, incident, complaint, audit finding, accreditation gap, or threshold breach.</w:t>
            </w:r>
          </w:p>
        </w:tc>
        <w:tc>
          <w:tcPr>
            <w:tcW w:type="dxa" w:w="3360"/>
            <w:vAlign w:val="top"/>
          </w:tcPr>
          <w:p>
            <w:r>
              <w:rPr>
                <w:sz w:val="17"/>
              </w:rPr>
            </w:r>
          </w:p>
        </w:tc>
      </w:tr>
      <w:tr>
        <w:tc>
          <w:tcPr>
            <w:tcW w:type="dxa" w:w="3360"/>
            <w:vAlign w:val="top"/>
            <w:shd w:fill="F2E8EB"/>
          </w:tcPr>
          <w:p>
            <w:r>
              <w:rPr>
                <w:sz w:val="17"/>
              </w:rPr>
              <w:t>Immediate containment</w:t>
            </w:r>
          </w:p>
        </w:tc>
        <w:tc>
          <w:tcPr>
            <w:tcW w:type="dxa" w:w="3360"/>
            <w:vAlign w:val="top"/>
          </w:tcPr>
          <w:p>
            <w:r>
              <w:rPr>
                <w:sz w:val="17"/>
              </w:rPr>
              <w:t>Record patient, workforce, data, service, and continuity protections, including restriction or pause.</w:t>
            </w:r>
          </w:p>
        </w:tc>
        <w:tc>
          <w:tcPr>
            <w:tcW w:type="dxa" w:w="3360"/>
            <w:vAlign w:val="top"/>
          </w:tcPr>
          <w:p>
            <w:r>
              <w:rPr>
                <w:sz w:val="17"/>
              </w:rPr>
            </w:r>
          </w:p>
        </w:tc>
      </w:tr>
      <w:tr>
        <w:tc>
          <w:tcPr>
            <w:tcW w:type="dxa" w:w="3360"/>
            <w:vAlign w:val="top"/>
            <w:shd w:fill="F2E8EB"/>
          </w:tcPr>
          <w:p>
            <w:r>
              <w:rPr>
                <w:sz w:val="17"/>
              </w:rPr>
              <w:t>Reconstruction</w:t>
            </w:r>
          </w:p>
        </w:tc>
        <w:tc>
          <w:tcPr>
            <w:tcW w:type="dxa" w:w="3360"/>
            <w:vAlign w:val="top"/>
          </w:tcPr>
          <w:p>
            <w:r>
              <w:rPr>
                <w:sz w:val="17"/>
              </w:rPr>
              <w:t>Preserve data state, model and software version, output, human action, timing, workload, and context.</w:t>
            </w:r>
          </w:p>
        </w:tc>
        <w:tc>
          <w:tcPr>
            <w:tcW w:type="dxa" w:w="3360"/>
            <w:vAlign w:val="top"/>
          </w:tcPr>
          <w:p>
            <w:r>
              <w:rPr>
                <w:sz w:val="17"/>
              </w:rPr>
            </w:r>
          </w:p>
        </w:tc>
      </w:tr>
      <w:tr>
        <w:tc>
          <w:tcPr>
            <w:tcW w:type="dxa" w:w="3360"/>
            <w:vAlign w:val="top"/>
            <w:shd w:fill="F2E8EB"/>
          </w:tcPr>
          <w:p>
            <w:r>
              <w:rPr>
                <w:sz w:val="17"/>
              </w:rPr>
              <w:t>Causal analysis</w:t>
            </w:r>
          </w:p>
        </w:tc>
        <w:tc>
          <w:tcPr>
            <w:tcW w:type="dxa" w:w="3360"/>
            <w:vAlign w:val="top"/>
          </w:tcPr>
          <w:p>
            <w:r>
              <w:rPr>
                <w:sz w:val="17"/>
              </w:rPr>
              <w:t>Identify confirmed and competing technical, clinical, workflow, organizational, and governance causes.</w:t>
            </w:r>
          </w:p>
        </w:tc>
        <w:tc>
          <w:tcPr>
            <w:tcW w:type="dxa" w:w="3360"/>
            <w:vAlign w:val="top"/>
          </w:tcPr>
          <w:p>
            <w:r>
              <w:rPr>
                <w:sz w:val="17"/>
              </w:rPr>
            </w:r>
          </w:p>
        </w:tc>
      </w:tr>
      <w:tr>
        <w:tc>
          <w:tcPr>
            <w:tcW w:type="dxa" w:w="3360"/>
            <w:vAlign w:val="top"/>
            <w:shd w:fill="F2E8EB"/>
          </w:tcPr>
          <w:p>
            <w:r>
              <w:rPr>
                <w:sz w:val="17"/>
              </w:rPr>
              <w:t>Corrective action</w:t>
            </w:r>
          </w:p>
        </w:tc>
        <w:tc>
          <w:tcPr>
            <w:tcW w:type="dxa" w:w="3360"/>
            <w:vAlign w:val="top"/>
          </w:tcPr>
          <w:p>
            <w:r>
              <w:rPr>
                <w:sz w:val="17"/>
              </w:rPr>
              <w:t>Define action, responsible owner, due date, revalidation, communication, and contract or vendor response.</w:t>
            </w:r>
          </w:p>
        </w:tc>
        <w:tc>
          <w:tcPr>
            <w:tcW w:type="dxa" w:w="3360"/>
            <w:vAlign w:val="top"/>
          </w:tcPr>
          <w:p>
            <w:r>
              <w:rPr>
                <w:sz w:val="17"/>
              </w:rPr>
            </w:r>
          </w:p>
        </w:tc>
      </w:tr>
      <w:tr>
        <w:tc>
          <w:tcPr>
            <w:tcW w:type="dxa" w:w="3360"/>
            <w:vAlign w:val="top"/>
            <w:shd w:fill="F2E8EB"/>
          </w:tcPr>
          <w:p>
            <w:r>
              <w:rPr>
                <w:sz w:val="17"/>
              </w:rPr>
              <w:t>Preventive action</w:t>
            </w:r>
          </w:p>
        </w:tc>
        <w:tc>
          <w:tcPr>
            <w:tcW w:type="dxa" w:w="3360"/>
            <w:vAlign w:val="top"/>
          </w:tcPr>
          <w:p>
            <w:r>
              <w:rPr>
                <w:sz w:val="17"/>
              </w:rPr>
              <w:t>Identify controls intended to prevent recurrence in this and related systems.</w:t>
            </w:r>
          </w:p>
        </w:tc>
        <w:tc>
          <w:tcPr>
            <w:tcW w:type="dxa" w:w="3360"/>
            <w:vAlign w:val="top"/>
          </w:tcPr>
          <w:p>
            <w:r>
              <w:rPr>
                <w:sz w:val="17"/>
              </w:rPr>
            </w:r>
          </w:p>
        </w:tc>
      </w:tr>
      <w:tr>
        <w:tc>
          <w:tcPr>
            <w:tcW w:type="dxa" w:w="3360"/>
            <w:vAlign w:val="top"/>
            <w:shd w:fill="F2E8EB"/>
          </w:tcPr>
          <w:p>
            <w:r>
              <w:rPr>
                <w:sz w:val="17"/>
              </w:rPr>
              <w:t>Effectiveness check</w:t>
            </w:r>
          </w:p>
        </w:tc>
        <w:tc>
          <w:tcPr>
            <w:tcW w:type="dxa" w:w="3360"/>
            <w:vAlign w:val="top"/>
          </w:tcPr>
          <w:p>
            <w:r>
              <w:rPr>
                <w:sz w:val="17"/>
              </w:rPr>
              <w:t>Define evidence, observation period, threshold, independent review, and residual uncertainty.</w:t>
            </w:r>
          </w:p>
        </w:tc>
        <w:tc>
          <w:tcPr>
            <w:tcW w:type="dxa" w:w="3360"/>
            <w:vAlign w:val="top"/>
          </w:tcPr>
          <w:p>
            <w:r>
              <w:rPr>
                <w:sz w:val="17"/>
              </w:rPr>
            </w:r>
          </w:p>
        </w:tc>
      </w:tr>
      <w:tr>
        <w:tc>
          <w:tcPr>
            <w:tcW w:type="dxa" w:w="3360"/>
            <w:vAlign w:val="top"/>
            <w:shd w:fill="F2E8EB"/>
          </w:tcPr>
          <w:p>
            <w:r>
              <w:rPr>
                <w:sz w:val="17"/>
              </w:rPr>
              <w:t>Closure authority</w:t>
            </w:r>
          </w:p>
        </w:tc>
        <w:tc>
          <w:tcPr>
            <w:tcW w:type="dxa" w:w="3360"/>
            <w:vAlign w:val="top"/>
          </w:tcPr>
          <w:p>
            <w:r>
              <w:rPr>
                <w:sz w:val="17"/>
              </w:rPr>
              <w:t>Record decision, date, dissent, residual risk, and next review.</w:t>
            </w:r>
          </w:p>
        </w:tc>
        <w:tc>
          <w:tcPr>
            <w:tcW w:type="dxa" w:w="3360"/>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52565A"/>
          </w:tcPr>
          <w:p>
            <w:r>
              <w:rPr>
                <w:b/>
                <w:color w:val="FFFFFF"/>
                <w:sz w:val="18"/>
              </w:rPr>
              <w:t>Field</w:t>
            </w:r>
          </w:p>
        </w:tc>
        <w:tc>
          <w:tcPr>
            <w:tcW w:type="dxa" w:w="3360"/>
            <w:shd w:fill="52565A"/>
          </w:tcPr>
          <w:p>
            <w:r>
              <w:rPr>
                <w:b/>
                <w:color w:val="FFFFFF"/>
                <w:sz w:val="18"/>
              </w:rPr>
              <w:t>Guidance</w:t>
            </w:r>
          </w:p>
        </w:tc>
        <w:tc>
          <w:tcPr>
            <w:tcW w:type="dxa" w:w="3360"/>
            <w:shd w:fill="52565A"/>
          </w:tcPr>
          <w:p>
            <w:r>
              <w:rPr>
                <w:b/>
                <w:color w:val="FFFFFF"/>
                <w:sz w:val="18"/>
              </w:rPr>
              <w:t>Institutional response</w:t>
            </w:r>
          </w:p>
        </w:tc>
      </w:tr>
      <w:tr>
        <w:tc>
          <w:tcPr>
            <w:tcW w:type="dxa" w:w="3360"/>
            <w:vAlign w:val="top"/>
            <w:shd w:fill="EFEFEF"/>
          </w:tcPr>
          <w:p>
            <w:r>
              <w:rPr>
                <w:sz w:val="17"/>
              </w:rPr>
              <w:t>Signal or nonconformity</w:t>
            </w:r>
          </w:p>
        </w:tc>
        <w:tc>
          <w:tcPr>
            <w:tcW w:type="dxa" w:w="3360"/>
            <w:vAlign w:val="top"/>
          </w:tcPr>
          <w:p>
            <w:r>
              <w:rPr>
                <w:sz w:val="17"/>
              </w:rPr>
              <w:t>Describe the indicator, incident, complaint, audit finding, accreditation gap, or threshold breach.</w:t>
            </w:r>
          </w:p>
        </w:tc>
        <w:tc>
          <w:tcPr>
            <w:tcW w:type="dxa" w:w="3360"/>
            <w:vAlign w:val="top"/>
          </w:tcPr>
          <w:p>
            <w:r>
              <w:rPr>
                <w:sz w:val="17"/>
              </w:rPr>
              <w:t>Synthetic example for Signal or nonconformity; replace with local evidence.</w:t>
            </w:r>
          </w:p>
        </w:tc>
      </w:tr>
      <w:tr>
        <w:tc>
          <w:tcPr>
            <w:tcW w:type="dxa" w:w="3360"/>
            <w:vAlign w:val="top"/>
            <w:shd w:fill="EFEFEF"/>
          </w:tcPr>
          <w:p>
            <w:r>
              <w:rPr>
                <w:sz w:val="17"/>
              </w:rPr>
              <w:t>Immediate containment</w:t>
            </w:r>
          </w:p>
        </w:tc>
        <w:tc>
          <w:tcPr>
            <w:tcW w:type="dxa" w:w="3360"/>
            <w:vAlign w:val="top"/>
          </w:tcPr>
          <w:p>
            <w:r>
              <w:rPr>
                <w:sz w:val="17"/>
              </w:rPr>
              <w:t>Record patient, workforce, data, service, and continuity protections, including restriction or pause.</w:t>
            </w:r>
          </w:p>
        </w:tc>
        <w:tc>
          <w:tcPr>
            <w:tcW w:type="dxa" w:w="3360"/>
            <w:vAlign w:val="top"/>
          </w:tcPr>
          <w:p>
            <w:r>
              <w:rPr>
                <w:sz w:val="17"/>
              </w:rPr>
              <w:t>Synthetic example for Immediate containment; replace with local evidence.</w:t>
            </w:r>
          </w:p>
        </w:tc>
      </w:tr>
      <w:tr>
        <w:tc>
          <w:tcPr>
            <w:tcW w:type="dxa" w:w="3360"/>
            <w:vAlign w:val="top"/>
            <w:shd w:fill="EFEFEF"/>
          </w:tcPr>
          <w:p>
            <w:r>
              <w:rPr>
                <w:sz w:val="17"/>
              </w:rPr>
              <w:t>Reconstruction</w:t>
            </w:r>
          </w:p>
        </w:tc>
        <w:tc>
          <w:tcPr>
            <w:tcW w:type="dxa" w:w="3360"/>
            <w:vAlign w:val="top"/>
          </w:tcPr>
          <w:p>
            <w:r>
              <w:rPr>
                <w:sz w:val="17"/>
              </w:rPr>
              <w:t>Preserve data state, model and software version, output, human action, timing, workload, and context.</w:t>
            </w:r>
          </w:p>
        </w:tc>
        <w:tc>
          <w:tcPr>
            <w:tcW w:type="dxa" w:w="3360"/>
            <w:vAlign w:val="top"/>
          </w:tcPr>
          <w:p>
            <w:r>
              <w:rPr>
                <w:sz w:val="17"/>
              </w:rPr>
              <w:t>Synthetic example for Reconstruction; replace with local evidence.</w:t>
            </w:r>
          </w:p>
        </w:tc>
      </w:tr>
      <w:tr>
        <w:tc>
          <w:tcPr>
            <w:tcW w:type="dxa" w:w="3360"/>
            <w:vAlign w:val="top"/>
            <w:shd w:fill="EFEFEF"/>
          </w:tcPr>
          <w:p>
            <w:r>
              <w:rPr>
                <w:sz w:val="17"/>
              </w:rPr>
              <w:t>Causal analysis</w:t>
            </w:r>
          </w:p>
        </w:tc>
        <w:tc>
          <w:tcPr>
            <w:tcW w:type="dxa" w:w="3360"/>
            <w:vAlign w:val="top"/>
          </w:tcPr>
          <w:p>
            <w:r>
              <w:rPr>
                <w:sz w:val="17"/>
              </w:rPr>
              <w:t>Identify confirmed and competing technical, clinical, workflow, organizational, and governance causes.</w:t>
            </w:r>
          </w:p>
        </w:tc>
        <w:tc>
          <w:tcPr>
            <w:tcW w:type="dxa" w:w="3360"/>
            <w:vAlign w:val="top"/>
          </w:tcPr>
          <w:p>
            <w:r>
              <w:rPr>
                <w:sz w:val="17"/>
              </w:rPr>
              <w:t>Synthetic example for Causal analysis; replace with local evidence.</w:t>
            </w:r>
          </w:p>
        </w:tc>
      </w:tr>
      <w:tr>
        <w:tc>
          <w:tcPr>
            <w:tcW w:type="dxa" w:w="3360"/>
            <w:vAlign w:val="top"/>
            <w:shd w:fill="EFEFEF"/>
          </w:tcPr>
          <w:p>
            <w:r>
              <w:rPr>
                <w:sz w:val="17"/>
              </w:rPr>
              <w:t>Corrective action</w:t>
            </w:r>
          </w:p>
        </w:tc>
        <w:tc>
          <w:tcPr>
            <w:tcW w:type="dxa" w:w="3360"/>
            <w:vAlign w:val="top"/>
          </w:tcPr>
          <w:p>
            <w:r>
              <w:rPr>
                <w:sz w:val="17"/>
              </w:rPr>
              <w:t>Define action, responsible owner, due date, revalidation, communication, and contract or vendor response.</w:t>
            </w:r>
          </w:p>
        </w:tc>
        <w:tc>
          <w:tcPr>
            <w:tcW w:type="dxa" w:w="3360"/>
            <w:vAlign w:val="top"/>
          </w:tcPr>
          <w:p>
            <w:r>
              <w:rPr>
                <w:sz w:val="17"/>
              </w:rPr>
              <w:t>Synthetic example for Corrective action; replace with local evidence.</w:t>
            </w:r>
          </w:p>
        </w:tc>
      </w:tr>
      <w:tr>
        <w:tc>
          <w:tcPr>
            <w:tcW w:type="dxa" w:w="3360"/>
            <w:vAlign w:val="top"/>
            <w:shd w:fill="EFEFEF"/>
          </w:tcPr>
          <w:p>
            <w:r>
              <w:rPr>
                <w:sz w:val="17"/>
              </w:rPr>
              <w:t>Preventive action</w:t>
            </w:r>
          </w:p>
        </w:tc>
        <w:tc>
          <w:tcPr>
            <w:tcW w:type="dxa" w:w="3360"/>
            <w:vAlign w:val="top"/>
          </w:tcPr>
          <w:p>
            <w:r>
              <w:rPr>
                <w:sz w:val="17"/>
              </w:rPr>
              <w:t>Identify controls intended to prevent recurrence in this and related systems.</w:t>
            </w:r>
          </w:p>
        </w:tc>
        <w:tc>
          <w:tcPr>
            <w:tcW w:type="dxa" w:w="3360"/>
            <w:vAlign w:val="top"/>
          </w:tcPr>
          <w:p>
            <w:r>
              <w:rPr>
                <w:sz w:val="17"/>
              </w:rPr>
              <w:t>Synthetic example for Preventive action; replace with local evidence.</w:t>
            </w:r>
          </w:p>
        </w:tc>
      </w:tr>
      <w:tr>
        <w:tc>
          <w:tcPr>
            <w:tcW w:type="dxa" w:w="3360"/>
            <w:vAlign w:val="top"/>
            <w:shd w:fill="EFEFEF"/>
          </w:tcPr>
          <w:p>
            <w:r>
              <w:rPr>
                <w:sz w:val="17"/>
              </w:rPr>
              <w:t>Effectiveness check</w:t>
            </w:r>
          </w:p>
        </w:tc>
        <w:tc>
          <w:tcPr>
            <w:tcW w:type="dxa" w:w="3360"/>
            <w:vAlign w:val="top"/>
          </w:tcPr>
          <w:p>
            <w:r>
              <w:rPr>
                <w:sz w:val="17"/>
              </w:rPr>
              <w:t>Define evidence, observation period, threshold, independent review, and residual uncertainty.</w:t>
            </w:r>
          </w:p>
        </w:tc>
        <w:tc>
          <w:tcPr>
            <w:tcW w:type="dxa" w:w="3360"/>
            <w:vAlign w:val="top"/>
          </w:tcPr>
          <w:p>
            <w:r>
              <w:rPr>
                <w:sz w:val="17"/>
              </w:rPr>
              <w:t>Synthetic example for Effectiveness check; replace with local evidence.</w:t>
            </w:r>
          </w:p>
        </w:tc>
      </w:tr>
      <w:tr>
        <w:tc>
          <w:tcPr>
            <w:tcW w:type="dxa" w:w="3360"/>
            <w:vAlign w:val="top"/>
            <w:shd w:fill="EFEFEF"/>
          </w:tcPr>
          <w:p>
            <w:r>
              <w:rPr>
                <w:sz w:val="17"/>
              </w:rPr>
              <w:t>Closure authority</w:t>
            </w:r>
          </w:p>
        </w:tc>
        <w:tc>
          <w:tcPr>
            <w:tcW w:type="dxa" w:w="3360"/>
            <w:vAlign w:val="top"/>
          </w:tcPr>
          <w:p>
            <w:r>
              <w:rPr>
                <w:sz w:val="17"/>
              </w:rPr>
              <w:t>Record decision, date, dissent, residual risk, and next review.</w:t>
            </w:r>
          </w:p>
        </w:tc>
        <w:tc>
          <w:tcPr>
            <w:tcW w:type="dxa" w:w="3360"/>
            <w:vAlign w:val="top"/>
          </w:tcPr>
          <w:p>
            <w:r>
              <w:rPr>
                <w:sz w:val="17"/>
              </w:rPr>
              <w:t>Synthetic example for Closure authority; replace with local evidence.</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AIHE-C02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