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1F4E79"/>
        </w:rPr>
        <w:t>AIHE-EX17 — AI Pricing and Contract Scenario Record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pPr>
        <w:jc w:val="centre"/>
      </w:pPr>
      <w:r>
        <w:rPr>
          <w:b/>
          <w:color w:val="2F5597"/>
        </w:rPr>
        <w:t>Blank institutional template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B — Economic Evaluation, Evidence, and Decision Modeling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6: Lifecycle Cost, Pricing, and Benefit Realization; Chapter 9: Problem-First Procurement and Vendor Governance; Chapter 12: Decision Architecture and Lifecycle Governance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04: 04_Economics_HTA_Pricing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Model base and variable fees in clinically legible units, cap exposure, price support explicitly, and link renewal to realized value.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pPr>
        <w:pStyle w:val="Heading1"/>
        <w:keepNext/>
      </w:pPr>
      <w:r>
        <w:t>How to use this resource</w:t>
      </w:r>
    </w:p>
    <w:p>
      <w:r>
        <w:t>Express pricing in units that clinical, operational, procurement, and finance teams can forecast and audit. Opaque token or compute pricing should be translated into budgetable activity units.</w:t>
      </w:r>
    </w:p>
    <w:p>
      <w:pPr>
        <w:pStyle w:val="Heading1"/>
        <w:keepNext/>
      </w:pPr>
      <w:r>
        <w:t>Pricing architecture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80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Pricing element</w:t>
            </w:r>
          </w:p>
        </w:tc>
        <w:tc>
          <w:tcPr>
            <w:tcW w:type="dxa" w:w="324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 specification</w:t>
            </w:r>
          </w:p>
        </w:tc>
        <w:tc>
          <w:tcPr>
            <w:tcW w:type="dxa" w:w="288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term or evidence</w:t>
            </w:r>
          </w:p>
        </w:tc>
        <w:tc>
          <w:tcPr>
            <w:tcW w:type="dxa" w:w="273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Gap or negotiation position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Base fee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Variable unit</w:t>
            </w:r>
          </w:p>
        </w:tc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Volume bands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Expenditure cap</w:t>
            </w:r>
          </w:p>
        </w:tc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Integration and implementation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Training and change support</w:t>
            </w:r>
          </w:p>
        </w:tc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Monitoring and assurance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Updates and material change</w:t>
            </w:r>
          </w:p>
        </w:tc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Escalation and indexation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Exit and continuity</w:t>
            </w:r>
          </w:p>
        </w:tc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Renewal condition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Price-volume scenarios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rPr>
          <w:tblHeader w:val="true"/>
        </w:trPr>
        <w:tc>
          <w:tcPr>
            <w:tcW w:type="dxa" w:w="115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122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Eligible volume</w:t>
            </w:r>
          </w:p>
        </w:tc>
        <w:tc>
          <w:tcPr>
            <w:tcW w:type="dxa" w:w="93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Adoption</w:t>
            </w:r>
          </w:p>
        </w:tc>
        <w:tc>
          <w:tcPr>
            <w:tcW w:type="dxa" w:w="122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Used volume</w:t>
            </w:r>
          </w:p>
        </w:tc>
        <w:tc>
          <w:tcPr>
            <w:tcW w:type="dxa" w:w="122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Base fee</w:t>
            </w:r>
          </w:p>
        </w:tc>
        <w:tc>
          <w:tcPr>
            <w:tcW w:type="dxa" w:w="129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Variable fee</w:t>
            </w:r>
          </w:p>
        </w:tc>
        <w:tc>
          <w:tcPr>
            <w:tcW w:type="dxa" w:w="16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Integration/support</w:t>
            </w:r>
          </w:p>
        </w:tc>
        <w:tc>
          <w:tcPr>
            <w:tcW w:type="dxa" w:w="122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Monitoring</w:t>
            </w:r>
          </w:p>
        </w:tc>
        <w:tc>
          <w:tcPr>
            <w:tcW w:type="dxa" w:w="158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Total exposure</w:t>
            </w:r>
          </w:p>
        </w:tc>
      </w:tr>
      <w:tr>
        <w:tc>
          <w:tcPr>
            <w:tcW w:type="dxa" w:w="115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Low</w:t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9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52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Expected</w:t>
            </w:r>
          </w:p>
        </w:tc>
        <w:tc>
          <w:tcPr>
            <w:tcW w:type="dxa" w:w="122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2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2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9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2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5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High</w:t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9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Procurement implication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88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792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 decision</w:t>
            </w:r>
          </w:p>
        </w:tc>
      </w:tr>
      <w:tr>
        <w:tc>
          <w:tcPr>
            <w:tcW w:type="dxa" w:w="288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Realistic volume modeling</w:t>
            </w:r>
          </w:p>
        </w:tc>
        <w:tc>
          <w:tcPr>
            <w:tcW w:type="dxa" w:w="79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88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Cost completeness</w:t>
            </w:r>
          </w:p>
        </w:tc>
        <w:tc>
          <w:tcPr>
            <w:tcW w:type="dxa" w:w="792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88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Variable exposure</w:t>
            </w:r>
          </w:p>
        </w:tc>
        <w:tc>
          <w:tcPr>
            <w:tcW w:type="dxa" w:w="79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88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Renewal</w:t>
            </w:r>
          </w:p>
        </w:tc>
        <w:tc>
          <w:tcPr>
            <w:tcW w:type="dxa" w:w="792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AIHE-EX17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