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AIHE-AA — Cost-Effectiveness and Budget-Impact Tool</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AIHE-AA</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7: Economic Evaluation, Affordability, and HTA; Chapter 8: Decision Modelling and Simulation Under Uncertainty</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D9EAF7"/>
          </w:tcPr>
          <w:p>
            <w:r>
              <w:rPr>
                <w:b/>
              </w:rPr>
              <w:t>Item</w:t>
            </w:r>
          </w:p>
        </w:tc>
        <w:tc>
          <w:tcPr>
            <w:tcW w:type="dxa" w:w="2592"/>
            <w:vAlign w:val="centre"/>
            <w:tcMar>
              <w:top w:w="80" w:type="dxa"/>
              <w:start w:w="80" w:type="dxa"/>
              <w:bottom w:w="80" w:type="dxa"/>
              <w:end w:w="80" w:type="dxa"/>
            </w:tcMar>
            <w:shd w:fill="D9EAF7"/>
          </w:tcPr>
          <w:p>
            <w:r>
              <w:rPr>
                <w:b/>
              </w:rPr>
              <w:t>AI pathway</w:t>
            </w:r>
          </w:p>
        </w:tc>
        <w:tc>
          <w:tcPr>
            <w:tcW w:type="dxa" w:w="2592"/>
            <w:vAlign w:val="centre"/>
            <w:tcMar>
              <w:top w:w="80" w:type="dxa"/>
              <w:start w:w="80" w:type="dxa"/>
              <w:bottom w:w="80" w:type="dxa"/>
              <w:end w:w="80" w:type="dxa"/>
            </w:tcMar>
            <w:shd w:fill="D9EAF7"/>
          </w:tcPr>
          <w:p>
            <w:r>
              <w:rPr>
                <w:b/>
              </w:rPr>
              <w:t>Comparator</w:t>
            </w:r>
          </w:p>
        </w:tc>
        <w:tc>
          <w:tcPr>
            <w:tcW w:type="dxa" w:w="2592"/>
            <w:vAlign w:val="centre"/>
            <w:tcMar>
              <w:top w:w="80" w:type="dxa"/>
              <w:start w:w="80" w:type="dxa"/>
              <w:bottom w:w="80" w:type="dxa"/>
              <w:end w:w="80" w:type="dxa"/>
            </w:tcMar>
            <w:shd w:fill="D9EAF7"/>
          </w:tcPr>
          <w:p>
            <w:r>
              <w:rPr>
                <w:b/>
              </w:rPr>
              <w:t>Difference</w:t>
            </w:r>
          </w:p>
        </w:tc>
      </w:tr>
      <w:tr>
        <w:tc>
          <w:tcPr>
            <w:tcW w:type="dxa" w:w="2592"/>
            <w:vAlign w:val="centre"/>
            <w:tcMar>
              <w:top w:w="80" w:type="dxa"/>
              <w:start w:w="80" w:type="dxa"/>
              <w:bottom w:w="80" w:type="dxa"/>
              <w:end w:w="80" w:type="dxa"/>
            </w:tcMar>
          </w:tcPr>
          <w:p>
            <w:r>
              <w:t>Cost per patient</w:t>
            </w:r>
          </w:p>
        </w:tc>
        <w:tc>
          <w:tcPr>
            <w:tcW w:type="dxa" w:w="2592"/>
            <w:vAlign w:val="centre"/>
            <w:tcMar>
              <w:top w:w="80" w:type="dxa"/>
              <w:start w:w="80" w:type="dxa"/>
              <w:bottom w:w="80" w:type="dxa"/>
              <w:end w:w="80" w:type="dxa"/>
            </w:tcMar>
          </w:tcPr>
          <w:p>
            <w:r>
              <w:t>1450</w:t>
            </w:r>
          </w:p>
        </w:tc>
        <w:tc>
          <w:tcPr>
            <w:tcW w:type="dxa" w:w="2592"/>
            <w:vAlign w:val="centre"/>
            <w:tcMar>
              <w:top w:w="80" w:type="dxa"/>
              <w:start w:w="80" w:type="dxa"/>
              <w:bottom w:w="80" w:type="dxa"/>
              <w:end w:w="80" w:type="dxa"/>
            </w:tcMar>
          </w:tcPr>
          <w:p>
            <w:r>
              <w:t>1200</w:t>
            </w:r>
          </w:p>
        </w:tc>
        <w:tc>
          <w:tcPr>
            <w:tcW w:type="dxa" w:w="2592"/>
            <w:vAlign w:val="centre"/>
            <w:tcMar>
              <w:top w:w="80" w:type="dxa"/>
              <w:start w:w="80" w:type="dxa"/>
              <w:bottom w:w="80" w:type="dxa"/>
              <w:end w:w="80" w:type="dxa"/>
            </w:tcMar>
          </w:tcPr>
          <w:p>
            <w:r>
              <w:t>250</w:t>
            </w:r>
          </w:p>
        </w:tc>
      </w:tr>
      <w:tr>
        <w:tc>
          <w:tcPr>
            <w:tcW w:type="dxa" w:w="2592"/>
            <w:vAlign w:val="centre"/>
            <w:tcMar>
              <w:top w:w="80" w:type="dxa"/>
              <w:start w:w="80" w:type="dxa"/>
              <w:bottom w:w="80" w:type="dxa"/>
              <w:end w:w="80" w:type="dxa"/>
            </w:tcMar>
          </w:tcPr>
          <w:p>
            <w:r>
              <w:t>Outcome per patient</w:t>
            </w:r>
          </w:p>
        </w:tc>
        <w:tc>
          <w:tcPr>
            <w:tcW w:type="dxa" w:w="2592"/>
            <w:vAlign w:val="centre"/>
            <w:tcMar>
              <w:top w:w="80" w:type="dxa"/>
              <w:start w:w="80" w:type="dxa"/>
              <w:bottom w:w="80" w:type="dxa"/>
              <w:end w:w="80" w:type="dxa"/>
            </w:tcMar>
          </w:tcPr>
          <w:p>
            <w:r>
              <w:t>0.770</w:t>
            </w:r>
          </w:p>
        </w:tc>
        <w:tc>
          <w:tcPr>
            <w:tcW w:type="dxa" w:w="2592"/>
            <w:vAlign w:val="centre"/>
            <w:tcMar>
              <w:top w:w="80" w:type="dxa"/>
              <w:start w:w="80" w:type="dxa"/>
              <w:bottom w:w="80" w:type="dxa"/>
              <w:end w:w="80" w:type="dxa"/>
            </w:tcMar>
          </w:tcPr>
          <w:p>
            <w:r>
              <w:t>0.740</w:t>
            </w:r>
          </w:p>
        </w:tc>
        <w:tc>
          <w:tcPr>
            <w:tcW w:type="dxa" w:w="2592"/>
            <w:vAlign w:val="centre"/>
            <w:tcMar>
              <w:top w:w="80" w:type="dxa"/>
              <w:start w:w="80" w:type="dxa"/>
              <w:bottom w:w="80" w:type="dxa"/>
              <w:end w:w="80" w:type="dxa"/>
            </w:tcMar>
          </w:tcPr>
          <w:p>
            <w:r>
              <w:t>0.030</w:t>
            </w:r>
          </w:p>
        </w:tc>
      </w:tr>
      <w:tr>
        <w:tc>
          <w:tcPr>
            <w:tcW w:type="dxa" w:w="2592"/>
            <w:vAlign w:val="centre"/>
            <w:tcMar>
              <w:top w:w="80" w:type="dxa"/>
              <w:start w:w="80" w:type="dxa"/>
              <w:bottom w:w="80" w:type="dxa"/>
              <w:end w:w="80" w:type="dxa"/>
            </w:tcMar>
          </w:tcPr>
          <w:p>
            <w:r>
              <w:t>QALYs or effect measure</w:t>
            </w:r>
          </w:p>
        </w:tc>
        <w:tc>
          <w:tcPr>
            <w:tcW w:type="dxa" w:w="2592"/>
            <w:vAlign w:val="centre"/>
            <w:tcMar>
              <w:top w:w="80" w:type="dxa"/>
              <w:start w:w="80" w:type="dxa"/>
              <w:bottom w:w="80" w:type="dxa"/>
              <w:end w:w="80" w:type="dxa"/>
            </w:tcMar>
          </w:tcPr>
          <w:p>
            <w:r>
              <w:t>0.770 QALYs</w:t>
            </w:r>
          </w:p>
        </w:tc>
        <w:tc>
          <w:tcPr>
            <w:tcW w:type="dxa" w:w="2592"/>
            <w:vAlign w:val="centre"/>
            <w:tcMar>
              <w:top w:w="80" w:type="dxa"/>
              <w:start w:w="80" w:type="dxa"/>
              <w:bottom w:w="80" w:type="dxa"/>
              <w:end w:w="80" w:type="dxa"/>
            </w:tcMar>
          </w:tcPr>
          <w:p>
            <w:r>
              <w:t>0.740 QALYs</w:t>
            </w:r>
          </w:p>
        </w:tc>
        <w:tc>
          <w:tcPr>
            <w:tcW w:type="dxa" w:w="2592"/>
            <w:vAlign w:val="centre"/>
            <w:tcMar>
              <w:top w:w="80" w:type="dxa"/>
              <w:start w:w="80" w:type="dxa"/>
              <w:bottom w:w="80" w:type="dxa"/>
              <w:end w:w="80" w:type="dxa"/>
            </w:tcMar>
          </w:tcPr>
          <w:p>
            <w:r>
              <w:t>0.030 QALYs</w:t>
            </w:r>
          </w:p>
        </w:tc>
      </w:tr>
      <w:tr>
        <w:tc>
          <w:tcPr>
            <w:tcW w:type="dxa" w:w="2592"/>
            <w:vAlign w:val="centre"/>
            <w:tcMar>
              <w:top w:w="80" w:type="dxa"/>
              <w:start w:w="80" w:type="dxa"/>
              <w:bottom w:w="80" w:type="dxa"/>
              <w:end w:w="80" w:type="dxa"/>
            </w:tcMar>
          </w:tcPr>
          <w:p>
            <w:r>
              <w:t>Incremental cost</w:t>
            </w:r>
          </w:p>
        </w:tc>
        <w:tc>
          <w:tcPr>
            <w:tcW w:type="dxa" w:w="2592"/>
            <w:vAlign w:val="centre"/>
            <w:tcMar>
              <w:top w:w="80" w:type="dxa"/>
              <w:start w:w="80" w:type="dxa"/>
              <w:bottom w:w="80" w:type="dxa"/>
              <w:end w:w="80" w:type="dxa"/>
            </w:tcMar>
          </w:tcPr>
          <w:p>
            <w:r>
              <w:t>250</w:t>
            </w:r>
          </w:p>
        </w:tc>
        <w:tc>
          <w:tcPr>
            <w:tcW w:type="dxa" w:w="2592"/>
            <w:vAlign w:val="centre"/>
            <w:tcMar>
              <w:top w:w="80" w:type="dxa"/>
              <w:start w:w="80" w:type="dxa"/>
              <w:bottom w:w="80" w:type="dxa"/>
              <w:end w:w="80" w:type="dxa"/>
            </w:tcMar>
          </w:tcPr>
          <w:p>
            <w:r>
              <w:t>0</w:t>
            </w:r>
          </w:p>
        </w:tc>
        <w:tc>
          <w:tcPr>
            <w:tcW w:type="dxa" w:w="2592"/>
            <w:vAlign w:val="centre"/>
            <w:tcMar>
              <w:top w:w="80" w:type="dxa"/>
              <w:start w:w="80" w:type="dxa"/>
              <w:bottom w:w="80" w:type="dxa"/>
              <w:end w:w="80" w:type="dxa"/>
            </w:tcMar>
          </w:tcPr>
          <w:p>
            <w:r>
              <w:t>250</w:t>
            </w:r>
          </w:p>
        </w:tc>
      </w:tr>
      <w:tr>
        <w:tc>
          <w:tcPr>
            <w:tcW w:type="dxa" w:w="2592"/>
            <w:vAlign w:val="centre"/>
            <w:tcMar>
              <w:top w:w="80" w:type="dxa"/>
              <w:start w:w="80" w:type="dxa"/>
              <w:bottom w:w="80" w:type="dxa"/>
              <w:end w:w="80" w:type="dxa"/>
            </w:tcMar>
          </w:tcPr>
          <w:p>
            <w:r>
              <w:t>Incremental effect</w:t>
            </w:r>
          </w:p>
        </w:tc>
        <w:tc>
          <w:tcPr>
            <w:tcW w:type="dxa" w:w="2592"/>
            <w:vAlign w:val="centre"/>
            <w:tcMar>
              <w:top w:w="80" w:type="dxa"/>
              <w:start w:w="80" w:type="dxa"/>
              <w:bottom w:w="80" w:type="dxa"/>
              <w:end w:w="80" w:type="dxa"/>
            </w:tcMar>
          </w:tcPr>
          <w:p>
            <w:r>
              <w:t>0.030</w:t>
            </w:r>
          </w:p>
        </w:tc>
        <w:tc>
          <w:tcPr>
            <w:tcW w:type="dxa" w:w="2592"/>
            <w:vAlign w:val="centre"/>
            <w:tcMar>
              <w:top w:w="80" w:type="dxa"/>
              <w:start w:w="80" w:type="dxa"/>
              <w:bottom w:w="80" w:type="dxa"/>
              <w:end w:w="80" w:type="dxa"/>
            </w:tcMar>
          </w:tcPr>
          <w:p>
            <w:r>
              <w:t>0</w:t>
            </w:r>
          </w:p>
        </w:tc>
        <w:tc>
          <w:tcPr>
            <w:tcW w:type="dxa" w:w="2592"/>
            <w:vAlign w:val="centre"/>
            <w:tcMar>
              <w:top w:w="80" w:type="dxa"/>
              <w:start w:w="80" w:type="dxa"/>
              <w:bottom w:w="80" w:type="dxa"/>
              <w:end w:w="80" w:type="dxa"/>
            </w:tcMar>
          </w:tcPr>
          <w:p>
            <w:r>
              <w:t>0.030</w:t>
            </w:r>
          </w:p>
        </w:tc>
      </w:tr>
      <w:tr>
        <w:tc>
          <w:tcPr>
            <w:tcW w:type="dxa" w:w="2592"/>
            <w:vAlign w:val="centre"/>
            <w:tcMar>
              <w:top w:w="80" w:type="dxa"/>
              <w:start w:w="80" w:type="dxa"/>
              <w:bottom w:w="80" w:type="dxa"/>
              <w:end w:w="80" w:type="dxa"/>
            </w:tcMar>
          </w:tcPr>
          <w:p>
            <w:r>
              <w:t>ICER or net benefit</w:t>
            </w:r>
          </w:p>
        </w:tc>
        <w:tc>
          <w:tcPr>
            <w:tcW w:type="dxa" w:w="2592"/>
            <w:vAlign w:val="centre"/>
            <w:tcMar>
              <w:top w:w="80" w:type="dxa"/>
              <w:start w:w="80" w:type="dxa"/>
              <w:bottom w:w="80" w:type="dxa"/>
              <w:end w:w="80" w:type="dxa"/>
            </w:tcMar>
          </w:tcPr>
          <w:p>
            <w:r>
              <w:t>EUR 8,333/QALY</w:t>
            </w:r>
          </w:p>
        </w:tc>
        <w:tc>
          <w:tcPr>
            <w:tcW w:type="dxa" w:w="2592"/>
            <w:vAlign w:val="centre"/>
            <w:tcMar>
              <w:top w:w="80" w:type="dxa"/>
              <w:start w:w="80" w:type="dxa"/>
              <w:bottom w:w="80" w:type="dxa"/>
              <w:end w:w="80" w:type="dxa"/>
            </w:tcMar>
          </w:tcPr>
          <w:p>
            <w:r>
              <w:t>Comparator</w:t>
            </w:r>
          </w:p>
        </w:tc>
        <w:tc>
          <w:tcPr>
            <w:tcW w:type="dxa" w:w="2592"/>
            <w:vAlign w:val="centre"/>
            <w:tcMar>
              <w:top w:w="80" w:type="dxa"/>
              <w:start w:w="80" w:type="dxa"/>
              <w:bottom w:w="80" w:type="dxa"/>
              <w:end w:w="80" w:type="dxa"/>
            </w:tcMar>
          </w:tcPr>
          <w:p>
            <w:r>
              <w:t>EUR 8,333/QALY</w:t>
            </w:r>
          </w:p>
        </w:tc>
      </w:tr>
      <w:tr>
        <w:tc>
          <w:tcPr>
            <w:tcW w:type="dxa" w:w="2592"/>
            <w:vAlign w:val="centre"/>
            <w:tcMar>
              <w:top w:w="80" w:type="dxa"/>
              <w:start w:w="80" w:type="dxa"/>
              <w:bottom w:w="80" w:type="dxa"/>
              <w:end w:w="80" w:type="dxa"/>
            </w:tcMar>
          </w:tcPr>
          <w:p>
            <w:r>
              <w:t>Eligible population</w:t>
            </w:r>
          </w:p>
        </w:tc>
        <w:tc>
          <w:tcPr>
            <w:tcW w:type="dxa" w:w="2592"/>
            <w:vAlign w:val="centre"/>
            <w:tcMar>
              <w:top w:w="80" w:type="dxa"/>
              <w:start w:w="80" w:type="dxa"/>
              <w:bottom w:w="80" w:type="dxa"/>
              <w:end w:w="80" w:type="dxa"/>
            </w:tcMar>
          </w:tcPr>
          <w:p>
            <w:r>
              <w:t>1000</w:t>
            </w:r>
          </w:p>
        </w:tc>
        <w:tc>
          <w:tcPr>
            <w:tcW w:type="dxa" w:w="2592"/>
            <w:vAlign w:val="centre"/>
            <w:tcMar>
              <w:top w:w="80" w:type="dxa"/>
              <w:start w:w="80" w:type="dxa"/>
              <w:bottom w:w="80" w:type="dxa"/>
              <w:end w:w="80" w:type="dxa"/>
            </w:tcMar>
          </w:tcPr>
          <w:p>
            <w:r>
              <w:t>1000</w:t>
            </w:r>
          </w:p>
        </w:tc>
        <w:tc>
          <w:tcPr>
            <w:tcW w:type="dxa" w:w="2592"/>
            <w:vAlign w:val="centre"/>
            <w:tcMar>
              <w:top w:w="80" w:type="dxa"/>
              <w:start w:w="80" w:type="dxa"/>
              <w:bottom w:w="80" w:type="dxa"/>
              <w:end w:w="80" w:type="dxa"/>
            </w:tcMar>
          </w:tcPr>
          <w:p>
            <w:r>
              <w:t>0</w:t>
            </w:r>
          </w:p>
        </w:tc>
      </w:tr>
      <w:tr>
        <w:tc>
          <w:tcPr>
            <w:tcW w:type="dxa" w:w="2592"/>
            <w:vAlign w:val="centre"/>
            <w:tcMar>
              <w:top w:w="80" w:type="dxa"/>
              <w:start w:w="80" w:type="dxa"/>
              <w:bottom w:w="80" w:type="dxa"/>
              <w:end w:w="80" w:type="dxa"/>
            </w:tcMar>
          </w:tcPr>
          <w:p>
            <w:r>
              <w:t>Adoption rate</w:t>
            </w:r>
          </w:p>
        </w:tc>
        <w:tc>
          <w:tcPr>
            <w:tcW w:type="dxa" w:w="2592"/>
            <w:vAlign w:val="centre"/>
            <w:tcMar>
              <w:top w:w="80" w:type="dxa"/>
              <w:start w:w="80" w:type="dxa"/>
              <w:bottom w:w="80" w:type="dxa"/>
              <w:end w:w="80" w:type="dxa"/>
            </w:tcMar>
          </w:tcPr>
          <w:p>
            <w:r>
              <w:t>60%</w:t>
            </w:r>
          </w:p>
        </w:tc>
        <w:tc>
          <w:tcPr>
            <w:tcW w:type="dxa" w:w="2592"/>
            <w:vAlign w:val="centre"/>
            <w:tcMar>
              <w:top w:w="80" w:type="dxa"/>
              <w:start w:w="80" w:type="dxa"/>
              <w:bottom w:w="80" w:type="dxa"/>
              <w:end w:w="80" w:type="dxa"/>
            </w:tcMar>
          </w:tcPr>
          <w:p>
            <w:r>
              <w:t>0%</w:t>
            </w:r>
          </w:p>
        </w:tc>
        <w:tc>
          <w:tcPr>
            <w:tcW w:type="dxa" w:w="2592"/>
            <w:vAlign w:val="centre"/>
            <w:tcMar>
              <w:top w:w="80" w:type="dxa"/>
              <w:start w:w="80" w:type="dxa"/>
              <w:bottom w:w="80" w:type="dxa"/>
              <w:end w:w="80" w:type="dxa"/>
            </w:tcMar>
          </w:tcPr>
          <w:p>
            <w:r>
              <w:t>60 percentage points</w:t>
            </w:r>
          </w:p>
        </w:tc>
      </w:tr>
      <w:tr>
        <w:tc>
          <w:tcPr>
            <w:tcW w:type="dxa" w:w="2592"/>
            <w:vAlign w:val="centre"/>
            <w:tcMar>
              <w:top w:w="80" w:type="dxa"/>
              <w:start w:w="80" w:type="dxa"/>
              <w:bottom w:w="80" w:type="dxa"/>
              <w:end w:w="80" w:type="dxa"/>
            </w:tcMar>
          </w:tcPr>
          <w:p>
            <w:r>
              <w:t>Annual budget impact</w:t>
            </w:r>
          </w:p>
        </w:tc>
        <w:tc>
          <w:tcPr>
            <w:tcW w:type="dxa" w:w="2592"/>
            <w:vAlign w:val="centre"/>
            <w:tcMar>
              <w:top w:w="80" w:type="dxa"/>
              <w:start w:w="80" w:type="dxa"/>
              <w:bottom w:w="80" w:type="dxa"/>
              <w:end w:w="80" w:type="dxa"/>
            </w:tcMar>
          </w:tcPr>
          <w:p>
            <w:r>
              <w:t>EUR 190,000 in Year 1</w:t>
            </w:r>
          </w:p>
        </w:tc>
        <w:tc>
          <w:tcPr>
            <w:tcW w:type="dxa" w:w="2592"/>
            <w:vAlign w:val="centre"/>
            <w:tcMar>
              <w:top w:w="80" w:type="dxa"/>
              <w:start w:w="80" w:type="dxa"/>
              <w:bottom w:w="80" w:type="dxa"/>
              <w:end w:w="80" w:type="dxa"/>
            </w:tcMar>
          </w:tcPr>
          <w:p>
            <w:r>
              <w:t>EUR 0</w:t>
            </w:r>
          </w:p>
        </w:tc>
        <w:tc>
          <w:tcPr>
            <w:tcW w:type="dxa" w:w="2592"/>
            <w:vAlign w:val="centre"/>
            <w:tcMar>
              <w:top w:w="80" w:type="dxa"/>
              <w:start w:w="80" w:type="dxa"/>
              <w:bottom w:w="80" w:type="dxa"/>
              <w:end w:w="80" w:type="dxa"/>
            </w:tcMar>
          </w:tcPr>
          <w:p>
            <w:r>
              <w:t>EUR 190,000</w:t>
            </w:r>
          </w:p>
        </w:tc>
      </w:tr>
      <w:tr>
        <w:tc>
          <w:tcPr>
            <w:tcW w:type="dxa" w:w="2592"/>
            <w:vAlign w:val="centre"/>
            <w:tcMar>
              <w:top w:w="80" w:type="dxa"/>
              <w:start w:w="80" w:type="dxa"/>
              <w:bottom w:w="80" w:type="dxa"/>
              <w:end w:w="80" w:type="dxa"/>
            </w:tcMar>
          </w:tcPr>
          <w:p>
            <w:r>
              <w:t>Sensitivity/scenario result</w:t>
            </w:r>
          </w:p>
        </w:tc>
        <w:tc>
          <w:tcPr>
            <w:tcW w:type="dxa" w:w="2592"/>
            <w:vAlign w:val="centre"/>
            <w:tcMar>
              <w:top w:w="80" w:type="dxa"/>
              <w:start w:w="80" w:type="dxa"/>
              <w:bottom w:w="80" w:type="dxa"/>
              <w:end w:w="80" w:type="dxa"/>
            </w:tcMar>
          </w:tcPr>
          <w:p>
            <w:r>
              <w:t>ICER rises to EUR 16,667/QALY if effect falls to 0.015 QALY.</w:t>
            </w:r>
          </w:p>
        </w:tc>
        <w:tc>
          <w:tcPr>
            <w:tcW w:type="dxa" w:w="2592"/>
            <w:vAlign w:val="centre"/>
            <w:tcMar>
              <w:top w:w="80" w:type="dxa"/>
              <w:start w:w="80" w:type="dxa"/>
              <w:bottom w:w="80" w:type="dxa"/>
              <w:end w:w="80" w:type="dxa"/>
            </w:tcMar>
          </w:tcPr>
          <w:p>
            <w:r>
              <w:t>Usual care.</w:t>
            </w:r>
          </w:p>
        </w:tc>
        <w:tc>
          <w:tcPr>
            <w:tcW w:type="dxa" w:w="2592"/>
            <w:vAlign w:val="centre"/>
            <w:tcMar>
              <w:top w:w="80" w:type="dxa"/>
              <w:start w:w="80" w:type="dxa"/>
              <w:bottom w:w="80" w:type="dxa"/>
              <w:end w:w="80" w:type="dxa"/>
            </w:tcMar>
          </w:tcPr>
          <w:p>
            <w:r>
              <w:t>Decision remains favorable below EUR 20,000/QALY in base case.</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AIHE-AA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