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re"/>
      </w:pPr>
      <w:r>
        <w:rPr>
          <w:rFonts w:ascii="Arial" w:hAnsi="Arial"/>
          <w:color w:val="1F4E79"/>
        </w:rPr>
        <w:t>AIHE-AF — Evidence, Reporting, and Assurance Crosswalk</w:t>
      </w:r>
    </w:p>
    <w:p>
      <w:r>
        <w:rPr>
          <w:rFonts w:ascii="Arial" w:hAnsi="Arial"/>
          <w:color w:val="595959"/>
          <w:sz w:val="17"/>
        </w:rPr>
        <w:t>Current digital location: Resource Set B — Economic Evaluation, Evidence, and Decision Modeling. Stable resource ID retained for continuity across companion editions.</w:t>
      </w:r>
    </w:p>
    <w:p>
      <w:pPr>
        <w:jc w:val="centre"/>
      </w:pPr>
      <w:r>
        <w:rPr>
          <w:b/>
          <w:color w:val="2F5597"/>
        </w:rPr>
        <w:t>Blank institutional template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Current digital location</w:t>
            </w:r>
          </w:p>
        </w:tc>
        <w:tc>
          <w:tcPr>
            <w:tcW w:type="dxa" w:w="5256"/>
            <w:vAlign w:val="centre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Resource Set B — Economic Evaluation, Evidence, and Decision Modeling</w:t>
            </w:r>
          </w:p>
        </w:tc>
      </w:tr>
      <w:tr>
        <w:tc>
          <w:tcPr>
            <w:tcW w:type="dxa" w:w="5256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Related book chapters</w:t>
            </w:r>
          </w:p>
        </w:tc>
        <w:tc>
          <w:tcPr>
            <w:tcW w:type="dxa" w:w="5256"/>
            <w:vAlign w:val="centre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Chapter 9: Problem-First Procurement and Vendor Governance; Chapter 10: Governance, Accountability, and Institutional Risk; Chapter 12: Decision Architecture and Lifecycle Governance; Chapter 11: Evidence, Validation, and Real-World Evaluation; Chapter 11: Evidence, Validation, and Real-World Evaluation</w:t>
            </w:r>
          </w:p>
        </w:tc>
      </w:tr>
      <w:tr>
        <w:tc>
          <w:tcPr>
            <w:tcW w:type="dxa" w:w="5256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Workflow step</w:t>
            </w:r>
          </w:p>
        </w:tc>
        <w:tc>
          <w:tcPr>
            <w:tcW w:type="dxa" w:w="5256"/>
            <w:vAlign w:val="centre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03: 03_Evidence_Validation</w:t>
            </w:r>
          </w:p>
        </w:tc>
      </w:tr>
      <w:tr>
        <w:tc>
          <w:tcPr>
            <w:tcW w:type="dxa" w:w="5256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Version</w:t>
            </w:r>
          </w:p>
        </w:tc>
        <w:tc>
          <w:tcPr>
            <w:tcW w:type="dxa" w:w="5256"/>
            <w:vAlign w:val="centre"/>
          </w:tcPr>
          <w:p>
            <w:pPr>
              <w:jc w:val="left"/>
            </w:pPr>
            <w:r>
              <w:t>6.0.0 | aligned to the fifteen-chapter reference edition and Resource Sets A–E</w:t>
            </w:r>
          </w:p>
        </w:tc>
      </w:tr>
    </w:tbl>
    <w:p>
      <w:r>
        <w:rPr>
          <w:b/>
        </w:rPr>
        <w:t xml:space="preserve">Purpose. </w:t>
      </w:r>
      <w:r>
        <w:t>Match evidence and assurance needs to reporting standards, appraisal tools, lifecycle guidance, and management systems.</w:t>
      </w:r>
    </w:p>
    <w:p>
      <w:r>
        <w:rPr>
          <w:b/>
        </w:rPr>
        <w:t xml:space="preserve">Use note. </w:t>
      </w:r>
      <w:r>
        <w:t>Use the resource as a versioned institutional record. Adapt it to local law, policy, clinical practice, information security, procurement, and health-technology-assessment requirements. Do not enter identifiable patient data or confidential credentials into public copies.</w:t>
      </w:r>
    </w:p>
    <w:p>
      <w:pPr>
        <w:pStyle w:val="Heading1"/>
        <w:keepNext/>
      </w:pPr>
      <w:r>
        <w:t>How to use this resource</w:t>
      </w:r>
    </w:p>
    <w:p>
      <w:r>
        <w:t>Use standards and external assurance as complementary evidence architecture. Reporting completeness does not guarantee quality, and external assurance does not replace local responsibility.</w:t>
      </w:r>
    </w:p>
    <w:p>
      <w:pPr>
        <w:pStyle w:val="Heading1"/>
        <w:keepNext/>
      </w:pPr>
      <w:r>
        <w:t>Evidence, reporting, and assurance crosswalk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2102"/>
        <w:gridCol w:w="2102"/>
        <w:gridCol w:w="2102"/>
        <w:gridCol w:w="2102"/>
        <w:gridCol w:w="2102"/>
      </w:tblGrid>
      <w:tr>
        <w:trPr>
          <w:tblHeader w:val="true"/>
        </w:trPr>
        <w:tc>
          <w:tcPr>
            <w:tcW w:type="dxa" w:w="2160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Evidence or assurance need</w:t>
            </w:r>
          </w:p>
        </w:tc>
        <w:tc>
          <w:tcPr>
            <w:tcW w:type="dxa" w:w="2088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Standard or framework</w:t>
            </w:r>
          </w:p>
        </w:tc>
        <w:tc>
          <w:tcPr>
            <w:tcW w:type="dxa" w:w="1944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Primary purpose</w:t>
            </w:r>
          </w:p>
        </w:tc>
        <w:tc>
          <w:tcPr>
            <w:tcW w:type="dxa" w:w="3384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Institutional use</w:t>
            </w:r>
          </w:p>
        </w:tc>
        <w:tc>
          <w:tcPr>
            <w:tcW w:type="dxa" w:w="1800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Version / review action</w:t>
            </w:r>
          </w:p>
        </w:tc>
      </w:tr>
      <w:tr>
        <w:tc>
          <w:tcPr>
            <w:tcW w:type="dxa" w:w="2160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Prediction model development and validation</w:t>
            </w:r>
          </w:p>
        </w:tc>
        <w:tc>
          <w:tcPr>
            <w:tcW w:type="dxa" w:w="2088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94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38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80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0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Prediction-model risk of bias</w:t>
            </w:r>
          </w:p>
        </w:tc>
        <w:tc>
          <w:tcPr>
            <w:tcW w:type="dxa" w:w="2088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94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38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800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0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Diagnostic accuracy</w:t>
            </w:r>
          </w:p>
        </w:tc>
        <w:tc>
          <w:tcPr>
            <w:tcW w:type="dxa" w:w="2088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94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38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80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0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Early live evaluation</w:t>
            </w:r>
          </w:p>
        </w:tc>
        <w:tc>
          <w:tcPr>
            <w:tcW w:type="dxa" w:w="2088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94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38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800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0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Trial protocol</w:t>
            </w:r>
          </w:p>
        </w:tc>
        <w:tc>
          <w:tcPr>
            <w:tcW w:type="dxa" w:w="2088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94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38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80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0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Trial report</w:t>
            </w:r>
          </w:p>
        </w:tc>
        <w:tc>
          <w:tcPr>
            <w:tcW w:type="dxa" w:w="2088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94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38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800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0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Economic evaluation</w:t>
            </w:r>
          </w:p>
        </w:tc>
        <w:tc>
          <w:tcPr>
            <w:tcW w:type="dxa" w:w="2088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94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38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80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0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Systematic review</w:t>
            </w:r>
          </w:p>
        </w:tc>
        <w:tc>
          <w:tcPr>
            <w:tcW w:type="dxa" w:w="2088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94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38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800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0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Trustworthy lifecycle deployment</w:t>
            </w:r>
          </w:p>
        </w:tc>
        <w:tc>
          <w:tcPr>
            <w:tcW w:type="dxa" w:w="2088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94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38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80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0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Continuous external assurance</w:t>
            </w:r>
          </w:p>
        </w:tc>
        <w:tc>
          <w:tcPr>
            <w:tcW w:type="dxa" w:w="2088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94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38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800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0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AI management system</w:t>
            </w:r>
          </w:p>
        </w:tc>
        <w:tc>
          <w:tcPr>
            <w:tcW w:type="dxa" w:w="2088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94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38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80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0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AI impact assessment</w:t>
            </w:r>
          </w:p>
        </w:tc>
        <w:tc>
          <w:tcPr>
            <w:tcW w:type="dxa" w:w="2088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94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38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800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0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Risk management</w:t>
            </w:r>
          </w:p>
        </w:tc>
        <w:tc>
          <w:tcPr>
            <w:tcW w:type="dxa" w:w="2088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94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38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80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Continuing-assurance record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rPr>
          <w:tblHeader w:val="true"/>
        </w:trPr>
        <w:tc>
          <w:tcPr>
            <w:tcW w:type="dxa" w:w="1800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Stage</w:t>
            </w:r>
          </w:p>
        </w:tc>
        <w:tc>
          <w:tcPr>
            <w:tcW w:type="dxa" w:w="4464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Minimum evidence</w:t>
            </w:r>
          </w:p>
        </w:tc>
        <w:tc>
          <w:tcPr>
            <w:tcW w:type="dxa" w:w="2160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Responsible forum</w:t>
            </w:r>
          </w:p>
        </w:tc>
        <w:tc>
          <w:tcPr>
            <w:tcW w:type="dxa" w:w="2304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Decision output</w:t>
            </w:r>
          </w:p>
        </w:tc>
      </w:tr>
      <w:tr>
        <w:tc>
          <w:tcPr>
            <w:tcW w:type="dxa" w:w="1800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Before procurement</w:t>
            </w:r>
          </w:p>
        </w:tc>
        <w:tc>
          <w:tcPr>
            <w:tcW w:type="dxa" w:w="446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30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800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Before live pilot</w:t>
            </w:r>
          </w:p>
        </w:tc>
        <w:tc>
          <w:tcPr>
            <w:tcW w:type="dxa" w:w="446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0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30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800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After deployment</w:t>
            </w:r>
          </w:p>
        </w:tc>
        <w:tc>
          <w:tcPr>
            <w:tcW w:type="dxa" w:w="446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30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800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Renewal</w:t>
            </w:r>
          </w:p>
        </w:tc>
        <w:tc>
          <w:tcPr>
            <w:tcW w:type="dxa" w:w="446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0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30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Decision and review record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rPr>
          <w:tblHeader w:val="true"/>
        </w:trPr>
        <w:tc>
          <w:tcPr>
            <w:tcW w:type="dxa" w:w="2088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Field</w:t>
            </w:r>
          </w:p>
        </w:tc>
        <w:tc>
          <w:tcPr>
            <w:tcW w:type="dxa" w:w="4464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Guidance</w:t>
            </w:r>
          </w:p>
        </w:tc>
        <w:tc>
          <w:tcPr>
            <w:tcW w:type="dxa" w:w="3456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Record</w:t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Recommended status</w:t>
            </w:r>
          </w:p>
        </w:tc>
        <w:tc>
          <w:tcPr>
            <w:tcW w:type="dxa" w:w="446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Proceed / proceed with conditions / redesign / restrict / pause / replace / retire</w:t>
            </w:r>
          </w:p>
        </w:tc>
        <w:tc>
          <w:tcPr>
            <w:tcW w:type="dxa" w:w="34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Mandatory safeguards</w:t>
            </w:r>
          </w:p>
        </w:tc>
        <w:tc>
          <w:tcPr>
            <w:tcW w:type="dxa" w:w="446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Safety, lawful data use, privacy/security, equity, human oversight, monitoring, ability to stop</w:t>
            </w:r>
          </w:p>
        </w:tc>
        <w:tc>
          <w:tcPr>
            <w:tcW w:type="dxa" w:w="3456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Material unresolved issues</w:t>
            </w:r>
          </w:p>
        </w:tc>
        <w:tc>
          <w:tcPr>
            <w:tcW w:type="dxa" w:w="446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Record gaps that could change the decision</w:t>
            </w:r>
          </w:p>
        </w:tc>
        <w:tc>
          <w:tcPr>
            <w:tcW w:type="dxa" w:w="34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Conditions, owners, and due dates</w:t>
            </w:r>
          </w:p>
        </w:tc>
        <w:tc>
          <w:tcPr>
            <w:tcW w:type="dxa" w:w="446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Link every condition to an accountable owner and verification date</w:t>
            </w:r>
          </w:p>
        </w:tc>
        <w:tc>
          <w:tcPr>
            <w:tcW w:type="dxa" w:w="3456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Decision authority and date</w:t>
            </w:r>
          </w:p>
        </w:tc>
        <w:tc>
          <w:tcPr>
            <w:tcW w:type="dxa" w:w="446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Named committee or executive authority</w:t>
            </w:r>
          </w:p>
        </w:tc>
        <w:tc>
          <w:tcPr>
            <w:tcW w:type="dxa" w:w="34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Next review or trigger event</w:t>
            </w:r>
          </w:p>
        </w:tc>
        <w:tc>
          <w:tcPr>
            <w:tcW w:type="dxa" w:w="446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Date and event-triggered review conditions</w:t>
            </w:r>
          </w:p>
        </w:tc>
        <w:tc>
          <w:tcPr>
            <w:tcW w:type="dxa" w:w="3456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>
      <w:pPr>
        <w:spacing w:after="0"/>
      </w:pPr>
    </w:p>
    <w:sectPr w:rsidR="00FC693F" w:rsidRPr="0006063C" w:rsidSect="00034616">
      <w:footerReference w:type="default" r:id="rId9"/>
      <w:head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re"/>
    </w:pPr>
    <w:r>
      <w:rPr>
        <w:color w:val="5F5A5B"/>
        <w:sz w:val="15"/>
      </w:rPr>
      <w:t>Muthana Zouri · Carmen Marinela Cumpăt · Grigore T. Popa University of Medicine and Pharmacy Publishing House · 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re"/>
    </w:pPr>
    <w:r/>
    <w:r>
      <w:rPr>
        <w:rFonts w:ascii="Georgia" w:hAnsi="Georgia"/>
        <w:b/>
        <w:color w:val="7B1734"/>
        <w:sz w:val="17"/>
      </w:rPr>
      <w:t>Artificial Intelligence and Healthcare Economics</w:t>
    </w:r>
    <w:r>
      <w:rPr>
        <w:color w:val="5F5A5B"/>
        <w:sz w:val="16"/>
      </w:rPr>
      <w:t xml:space="preserve"> · Digital Resource Companion · V1.0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re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F4E79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F4E79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ns0:Properties xmlns:ns0="http://schemas.openxmlformats.org/officeDocument/2006/extended-properties" xmlns:ns1="http://schemas.openxmlformats.org/officeDocument/2006/docPropsVTypes">
  <ns0:Template>Normal.dotm</ns0:Template>
  <ns0:TotalTime>0</ns0:TotalTime>
  <ns0:Pages>1</ns0:Pages>
  <ns0:Words>0</ns0:Words>
  <ns0:Characters>0</ns0:Characters>
  <ns0:Application>Office document</ns0:Application>
  <ns0:DocSecurity>0</ns0:DocSecurity>
  <ns0:Lines>0</ns0:Lines>
  <ns0:Paragraphs>0</ns0:Paragraphs>
  <ns0:ScaleCrop>false</ns0:ScaleCrop>
  <ns0:HeadingPairs>
    <ns1:vector size="2" baseType="variant">
      <ns1:variant>
        <ns1:lpstr>Title</ns1:lpstr>
      </ns1:variant>
      <ns1:variant>
        <ns1:i4>1</ns1:i4>
      </ns1:variant>
    </ns1:vector>
  </ns0:HeadingPairs>
  <ns0:TitlesOfParts>
    <ns1:vector size="1" baseType="lpstr">
      <ns1:lpstr/>
    </ns1:vector>
  </ns0:TitlesOfParts>
  <ns0:Manager/>
  <ns0:Company/>
  <ns0:LinksUpToDate>false</ns0:LinksUpToDate>
  <ns0:CharactersWithSpaces>0</ns0:CharactersWithSpaces>
  <ns0:SharedDoc>false</ns0:SharedDoc>
  <ns0:HyperlinkBase/>
  <ns0:HyperlinksChanged>false</ns0:HyperlinksChanged>
  <ns0:AppVersion/>
</ns0:Properties>
</file>

<file path=docProps/core.xml><?xml version="1.0" encoding="utf-8"?>
<ns0:coreProperties xmlns:dc="http://purl.org/dc/elements/1.1/" xmlns:ns0="http://schemas.openxmlformats.org/package/2006/metadata/core-properties" xmlns:ns2="http://purl.org/dc/terms/" xmlns:xsi="http://www.w3.org/2001/XMLSchema-instance">
  <dc:title>AIHE-AF template</dc:title>
  <dc:creator>Muthana Zouri; Carmen Marinela Cumpăt</dc:creator>
  <ns0:lastModifiedBy/>
  <ns2:created xsi:type="dcterms:W3CDTF">2026-08-06T00:00:00Z</ns2:created>
  <ns2:modified xsi:type="dcterms:W3CDTF">2026-08-06T00:00:00Z</ns2:modified>
  <dc:description/>
  <dc:subject>Evidence, Value, Governance, and Sustainability</dc:subject>
  <ns0:category>Digital Resource Companion</ns0:category>
  <ns0:keywords>healthcare economics; artificial intelligence; governance; sustainable value</ns0:keywords>
</ns0:coreProperties>
</file>