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re"/>
      </w:pPr>
      <w:r>
        <w:rPr>
          <w:rFonts w:ascii="Arial" w:hAnsi="Arial"/>
          <w:color w:val="1F4E79"/>
        </w:rPr>
        <w:t>AIHE-EX15 — Analytic and Simulation Method Selection Guide</w:t>
      </w:r>
    </w:p>
    <w:p>
      <w:r>
        <w:rPr>
          <w:rFonts w:ascii="Arial" w:hAnsi="Arial"/>
          <w:color w:val="595959"/>
          <w:sz w:val="17"/>
        </w:rPr>
        <w:t>Current digital location: Resource Set B — Economic Evaluation, Evidence, and Decision Modeling. Stable resource ID retained for continuity across companion editions.</w:t>
      </w:r>
    </w:p>
    <w:p>
      <w:pPr>
        <w:jc w:val="centre"/>
      </w:pPr>
      <w:r>
        <w:rPr>
          <w:b/>
          <w:color w:val="2F5597"/>
        </w:rPr>
        <w:t>Blank institutional template</w:t>
      </w:r>
    </w:p>
    <w:tbl>
      <w:tblPr>
        <w:tblStyle w:val="TableGrid"/>
        <w:tblW w:type="auto" w:w="0"/>
        <w:jc w:val="centre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  <w:vAlign w:val="centre"/>
            <w:shd w:fill="1F4E79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Current digital location</w:t>
            </w:r>
          </w:p>
        </w:tc>
        <w:tc>
          <w:tcPr>
            <w:tcW w:type="dxa" w:w="5256"/>
            <w:vAlign w:val="centre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Resource Set B — Economic Evaluation, Evidence, and Decision Modeling</w:t>
            </w:r>
          </w:p>
        </w:tc>
      </w:tr>
      <w:tr>
        <w:tc>
          <w:tcPr>
            <w:tcW w:type="dxa" w:w="5256"/>
            <w:vAlign w:val="centre"/>
            <w:shd w:fill="1F4E79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Related book chapters</w:t>
            </w:r>
          </w:p>
        </w:tc>
        <w:tc>
          <w:tcPr>
            <w:tcW w:type="dxa" w:w="5256"/>
            <w:vAlign w:val="centre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Chapter 7: Economic Evaluation, Affordability, and HTA; Chapter 12: Decision Architecture and Lifecycle Governance; Chapter 8: Decision Modelling and Simulation Under Uncertainty</w:t>
            </w:r>
          </w:p>
        </w:tc>
      </w:tr>
      <w:tr>
        <w:tc>
          <w:tcPr>
            <w:tcW w:type="dxa" w:w="5256"/>
            <w:vAlign w:val="centre"/>
            <w:shd w:fill="1F4E79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Workflow step</w:t>
            </w:r>
          </w:p>
        </w:tc>
        <w:tc>
          <w:tcPr>
            <w:tcW w:type="dxa" w:w="5256"/>
            <w:vAlign w:val="centre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03: 03_Evidence_Validation</w:t>
            </w:r>
          </w:p>
        </w:tc>
      </w:tr>
      <w:tr>
        <w:tc>
          <w:tcPr>
            <w:tcW w:type="dxa" w:w="5256"/>
            <w:vAlign w:val="centre"/>
            <w:shd w:fill="1F4E79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Version</w:t>
            </w:r>
          </w:p>
        </w:tc>
        <w:tc>
          <w:tcPr>
            <w:tcW w:type="dxa" w:w="5256"/>
            <w:vAlign w:val="centre"/>
          </w:tcPr>
          <w:p>
            <w:pPr>
              <w:jc w:val="left"/>
            </w:pPr>
            <w:r>
              <w:t>6.0.0 | aligned to the fifteen-chapter reference edition and Resource Sets A–E</w:t>
            </w:r>
          </w:p>
        </w:tc>
      </w:tr>
    </w:tbl>
    <w:p>
      <w:r>
        <w:rPr>
          <w:b/>
        </w:rPr>
        <w:t xml:space="preserve">Purpose. </w:t>
      </w:r>
      <w:r>
        <w:t>Select decision trees, Markov models, microsimulation, discrete-event simulation, system dynamics, or agent-based modeling by problem structure.</w:t>
      </w:r>
    </w:p>
    <w:p>
      <w:r>
        <w:rPr>
          <w:b/>
        </w:rPr>
        <w:t xml:space="preserve">Use note. </w:t>
      </w:r>
      <w:r>
        <w:t>Use the resource as a versioned institutional record. Adapt it to local law, policy, clinical practice, information security, procurement, and health-technology-assessment requirements. Do not enter identifiable patient data or confidential credentials into public copies.</w:t>
      </w:r>
    </w:p>
    <w:p>
      <w:pPr>
        <w:pStyle w:val="Heading1"/>
        <w:keepNext/>
      </w:pPr>
      <w:r>
        <w:t>How to use this resource</w:t>
      </w:r>
    </w:p>
    <w:p>
      <w:r>
        <w:t>Use the decision structure—not software familiarity—to select the model. Hybrid models may be justified when clinical progression, queues, heterogeneous behaviour, and feedback interact.</w:t>
      </w:r>
    </w:p>
    <w:p>
      <w:pPr>
        <w:pStyle w:val="Heading1"/>
        <w:keepNext/>
      </w:pPr>
      <w:r>
        <w:t>Decision structure and preferred method</w:t>
      </w:r>
    </w:p>
    <w:tbl>
      <w:tblPr>
        <w:tblStyle w:val="TableGrid"/>
        <w:tblW w:type="auto" w:w="0"/>
        <w:jc w:val="centre"/>
        <w:tblLook w:firstColumn="1" w:firstRow="1" w:lastColumn="0" w:lastRow="0" w:noHBand="0" w:noVBand="1" w:val="04A0"/>
      </w:tblPr>
      <w:tblGrid>
        <w:gridCol w:w="2102"/>
        <w:gridCol w:w="2102"/>
        <w:gridCol w:w="2102"/>
        <w:gridCol w:w="2102"/>
        <w:gridCol w:w="2102"/>
      </w:tblGrid>
      <w:tr>
        <w:trPr>
          <w:tblHeader w:val="true"/>
        </w:trPr>
        <w:tc>
          <w:tcPr>
            <w:tcW w:type="dxa" w:w="2088"/>
            <w:vAlign w:val="centre"/>
            <w:shd w:fill="1F4E79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Decision structure</w:t>
            </w:r>
          </w:p>
        </w:tc>
        <w:tc>
          <w:tcPr>
            <w:tcW w:type="dxa" w:w="1944"/>
            <w:vAlign w:val="centre"/>
            <w:shd w:fill="1F4E79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Preferred method</w:t>
            </w:r>
          </w:p>
        </w:tc>
        <w:tc>
          <w:tcPr>
            <w:tcW w:type="dxa" w:w="2376"/>
            <w:vAlign w:val="centre"/>
            <w:shd w:fill="1F4E79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Best represented features</w:t>
            </w:r>
          </w:p>
        </w:tc>
        <w:tc>
          <w:tcPr>
            <w:tcW w:type="dxa" w:w="2880"/>
            <w:vAlign w:val="centre"/>
            <w:shd w:fill="1F4E79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Selection question</w:t>
            </w:r>
          </w:p>
        </w:tc>
        <w:tc>
          <w:tcPr>
            <w:tcW w:type="dxa" w:w="2232"/>
            <w:vAlign w:val="centre"/>
            <w:shd w:fill="1F4E79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Primary caution</w:t>
            </w:r>
          </w:p>
        </w:tc>
      </w:tr>
      <w:tr>
        <w:tc>
          <w:tcPr>
            <w:tcW w:type="dxa" w:w="2088"/>
            <w:vAlign w:val="centre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rial" w:hAnsi="Arial"/>
                <w:b/>
                <w:sz w:val="16"/>
              </w:rPr>
              <w:t>Short, non-recurring pathway</w:t>
            </w:r>
          </w:p>
        </w:tc>
        <w:tc>
          <w:tcPr>
            <w:tcW w:type="dxa" w:w="1944"/>
            <w:vAlign w:val="centre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2376"/>
            <w:vAlign w:val="centre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2880"/>
            <w:vAlign w:val="centre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2232"/>
            <w:vAlign w:val="centre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2088"/>
            <w:vAlign w:val="centre"/>
            <w:shd w:fill="F3F7FA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rial" w:hAnsi="Arial"/>
                <w:b/>
                <w:sz w:val="16"/>
              </w:rPr>
              <w:t>Repeated state transitions</w:t>
            </w:r>
          </w:p>
        </w:tc>
        <w:tc>
          <w:tcPr>
            <w:tcW w:type="dxa" w:w="1944"/>
            <w:vAlign w:val="centre"/>
            <w:shd w:fill="F3F7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2376"/>
            <w:vAlign w:val="centre"/>
            <w:shd w:fill="F3F7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2880"/>
            <w:vAlign w:val="centre"/>
            <w:shd w:fill="F3F7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2232"/>
            <w:vAlign w:val="centre"/>
            <w:shd w:fill="F3F7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2088"/>
            <w:vAlign w:val="centre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rial" w:hAnsi="Arial"/>
                <w:b/>
                <w:sz w:val="16"/>
              </w:rPr>
              <w:t>Individual heterogeneity or history</w:t>
            </w:r>
          </w:p>
        </w:tc>
        <w:tc>
          <w:tcPr>
            <w:tcW w:type="dxa" w:w="1944"/>
            <w:vAlign w:val="centre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2376"/>
            <w:vAlign w:val="centre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2880"/>
            <w:vAlign w:val="centre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2232"/>
            <w:vAlign w:val="centre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2088"/>
            <w:vAlign w:val="centre"/>
            <w:shd w:fill="F3F7FA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rial" w:hAnsi="Arial"/>
                <w:b/>
                <w:sz w:val="16"/>
              </w:rPr>
              <w:t>Queues, resources, event timing</w:t>
            </w:r>
          </w:p>
        </w:tc>
        <w:tc>
          <w:tcPr>
            <w:tcW w:type="dxa" w:w="1944"/>
            <w:vAlign w:val="centre"/>
            <w:shd w:fill="F3F7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2376"/>
            <w:vAlign w:val="centre"/>
            <w:shd w:fill="F3F7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2880"/>
            <w:vAlign w:val="centre"/>
            <w:shd w:fill="F3F7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2232"/>
            <w:vAlign w:val="centre"/>
            <w:shd w:fill="F3F7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2088"/>
            <w:vAlign w:val="centre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rial" w:hAnsi="Arial"/>
                <w:b/>
                <w:sz w:val="16"/>
              </w:rPr>
              <w:t>Aggregate feedback and delay</w:t>
            </w:r>
          </w:p>
        </w:tc>
        <w:tc>
          <w:tcPr>
            <w:tcW w:type="dxa" w:w="1944"/>
            <w:vAlign w:val="centre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2376"/>
            <w:vAlign w:val="centre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2880"/>
            <w:vAlign w:val="centre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2232"/>
            <w:vAlign w:val="centre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2088"/>
            <w:vAlign w:val="centre"/>
            <w:shd w:fill="F3F7FA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rial" w:hAnsi="Arial"/>
                <w:b/>
                <w:sz w:val="16"/>
              </w:rPr>
              <w:t>Heterogeneous actors and interaction</w:t>
            </w:r>
          </w:p>
        </w:tc>
        <w:tc>
          <w:tcPr>
            <w:tcW w:type="dxa" w:w="1944"/>
            <w:vAlign w:val="centre"/>
            <w:shd w:fill="F3F7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2376"/>
            <w:vAlign w:val="centre"/>
            <w:shd w:fill="F3F7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2880"/>
            <w:vAlign w:val="centre"/>
            <w:shd w:fill="F3F7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2232"/>
            <w:vAlign w:val="centre"/>
            <w:shd w:fill="F3F7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Model-selection record</w:t>
      </w:r>
    </w:p>
    <w:tbl>
      <w:tblPr>
        <w:tblStyle w:val="TableGrid"/>
        <w:tblW w:type="auto" w:w="0"/>
        <w:jc w:val="centre"/>
        <w:tblLook w:firstColumn="1" w:firstRow="1" w:lastColumn="0" w:lastRow="0" w:noHBand="0" w:noVBand="1" w:val="04A0"/>
      </w:tblPr>
      <w:tblGrid>
        <w:gridCol w:w="3504"/>
        <w:gridCol w:w="3504"/>
        <w:gridCol w:w="3504"/>
      </w:tblGrid>
      <w:tr>
        <w:trPr>
          <w:tblHeader w:val="true"/>
        </w:trPr>
        <w:tc>
          <w:tcPr>
            <w:tcW w:type="dxa" w:w="2232"/>
            <w:vAlign w:val="centre"/>
            <w:shd w:fill="1F4E79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Field</w:t>
            </w:r>
          </w:p>
        </w:tc>
        <w:tc>
          <w:tcPr>
            <w:tcW w:type="dxa" w:w="4536"/>
            <w:vAlign w:val="centre"/>
            <w:shd w:fill="1F4E79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Prompt</w:t>
            </w:r>
          </w:p>
        </w:tc>
        <w:tc>
          <w:tcPr>
            <w:tcW w:type="dxa" w:w="3312"/>
            <w:vAlign w:val="centre"/>
            <w:shd w:fill="1F4E79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Record / evidence</w:t>
            </w:r>
          </w:p>
        </w:tc>
      </w:tr>
      <w:tr>
        <w:tc>
          <w:tcPr>
            <w:tcW w:type="dxa" w:w="2232"/>
            <w:vAlign w:val="centre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rial" w:hAnsi="Arial"/>
                <w:b/>
                <w:sz w:val="16"/>
              </w:rPr>
              <w:t>Decision problem and comparator</w:t>
            </w:r>
          </w:p>
        </w:tc>
        <w:tc>
          <w:tcPr>
            <w:tcW w:type="dxa" w:w="4536"/>
            <w:vAlign w:val="centre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312"/>
            <w:vAlign w:val="centre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2232"/>
            <w:vAlign w:val="centre"/>
            <w:shd w:fill="F3F7FA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rial" w:hAnsi="Arial"/>
                <w:b/>
                <w:sz w:val="16"/>
              </w:rPr>
              <w:t>Mechanism and time structure</w:t>
            </w:r>
          </w:p>
        </w:tc>
        <w:tc>
          <w:tcPr>
            <w:tcW w:type="dxa" w:w="4536"/>
            <w:vAlign w:val="centre"/>
            <w:shd w:fill="F3F7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312"/>
            <w:vAlign w:val="centre"/>
            <w:shd w:fill="F3F7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2232"/>
            <w:vAlign w:val="centre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rial" w:hAnsi="Arial"/>
                <w:b/>
                <w:sz w:val="16"/>
              </w:rPr>
              <w:t>Unit of analysis</w:t>
            </w:r>
          </w:p>
        </w:tc>
        <w:tc>
          <w:tcPr>
            <w:tcW w:type="dxa" w:w="4536"/>
            <w:vAlign w:val="centre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312"/>
            <w:vAlign w:val="centre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2232"/>
            <w:vAlign w:val="centre"/>
            <w:shd w:fill="F3F7FA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rial" w:hAnsi="Arial"/>
                <w:b/>
                <w:sz w:val="16"/>
              </w:rPr>
              <w:t>Heterogeneity and history</w:t>
            </w:r>
          </w:p>
        </w:tc>
        <w:tc>
          <w:tcPr>
            <w:tcW w:type="dxa" w:w="4536"/>
            <w:vAlign w:val="centre"/>
            <w:shd w:fill="F3F7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312"/>
            <w:vAlign w:val="centre"/>
            <w:shd w:fill="F3F7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2232"/>
            <w:vAlign w:val="centre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rial" w:hAnsi="Arial"/>
                <w:b/>
                <w:sz w:val="16"/>
              </w:rPr>
              <w:t>Queues and resources</w:t>
            </w:r>
          </w:p>
        </w:tc>
        <w:tc>
          <w:tcPr>
            <w:tcW w:type="dxa" w:w="4536"/>
            <w:vAlign w:val="centre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312"/>
            <w:vAlign w:val="centre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2232"/>
            <w:vAlign w:val="centre"/>
            <w:shd w:fill="F3F7FA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rial" w:hAnsi="Arial"/>
                <w:b/>
                <w:sz w:val="16"/>
              </w:rPr>
              <w:t>Feedback and interaction</w:t>
            </w:r>
          </w:p>
        </w:tc>
        <w:tc>
          <w:tcPr>
            <w:tcW w:type="dxa" w:w="4536"/>
            <w:vAlign w:val="centre"/>
            <w:shd w:fill="F3F7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312"/>
            <w:vAlign w:val="centre"/>
            <w:shd w:fill="F3F7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2232"/>
            <w:vAlign w:val="centre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rial" w:hAnsi="Arial"/>
                <w:b/>
                <w:sz w:val="16"/>
              </w:rPr>
              <w:t>Selected method</w:t>
            </w:r>
          </w:p>
        </w:tc>
        <w:tc>
          <w:tcPr>
            <w:tcW w:type="dxa" w:w="4536"/>
            <w:vAlign w:val="centre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312"/>
            <w:vAlign w:val="centre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2232"/>
            <w:vAlign w:val="centre"/>
            <w:shd w:fill="F3F7FA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rial" w:hAnsi="Arial"/>
                <w:b/>
                <w:sz w:val="16"/>
              </w:rPr>
              <w:t>Rejected alternatives</w:t>
            </w:r>
          </w:p>
        </w:tc>
        <w:tc>
          <w:tcPr>
            <w:tcW w:type="dxa" w:w="4536"/>
            <w:vAlign w:val="centre"/>
            <w:shd w:fill="F3F7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312"/>
            <w:vAlign w:val="centre"/>
            <w:shd w:fill="F3F7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2232"/>
            <w:vAlign w:val="centre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rial" w:hAnsi="Arial"/>
                <w:b/>
                <w:sz w:val="16"/>
              </w:rPr>
              <w:t>Verification and validation</w:t>
            </w:r>
          </w:p>
        </w:tc>
        <w:tc>
          <w:tcPr>
            <w:tcW w:type="dxa" w:w="4536"/>
            <w:vAlign w:val="centre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312"/>
            <w:vAlign w:val="centre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Decision and review record</w:t>
      </w:r>
    </w:p>
    <w:tbl>
      <w:tblPr>
        <w:tblStyle w:val="TableGrid"/>
        <w:tblW w:type="auto" w:w="0"/>
        <w:jc w:val="centre"/>
        <w:tblLook w:firstColumn="1" w:firstRow="1" w:lastColumn="0" w:lastRow="0" w:noHBand="0" w:noVBand="1" w:val="04A0"/>
      </w:tblPr>
      <w:tblGrid>
        <w:gridCol w:w="3504"/>
        <w:gridCol w:w="3504"/>
        <w:gridCol w:w="3504"/>
      </w:tblGrid>
      <w:tr>
        <w:trPr>
          <w:tblHeader w:val="true"/>
        </w:trPr>
        <w:tc>
          <w:tcPr>
            <w:tcW w:type="dxa" w:w="2088"/>
            <w:vAlign w:val="centre"/>
            <w:shd w:fill="1F4E79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Field</w:t>
            </w:r>
          </w:p>
        </w:tc>
        <w:tc>
          <w:tcPr>
            <w:tcW w:type="dxa" w:w="4464"/>
            <w:vAlign w:val="centre"/>
            <w:shd w:fill="1F4E79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Guidance</w:t>
            </w:r>
          </w:p>
        </w:tc>
        <w:tc>
          <w:tcPr>
            <w:tcW w:type="dxa" w:w="3456"/>
            <w:vAlign w:val="centre"/>
            <w:shd w:fill="1F4E79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Record</w:t>
            </w:r>
          </w:p>
        </w:tc>
      </w:tr>
      <w:tr>
        <w:tc>
          <w:tcPr>
            <w:tcW w:type="dxa" w:w="2088"/>
            <w:vAlign w:val="centre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rial" w:hAnsi="Arial"/>
                <w:b/>
                <w:sz w:val="16"/>
              </w:rPr>
              <w:t>Recommended status</w:t>
            </w:r>
          </w:p>
        </w:tc>
        <w:tc>
          <w:tcPr>
            <w:tcW w:type="dxa" w:w="4464"/>
            <w:vAlign w:val="centre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Proceed / proceed with conditions / redesign / restrict / pause / replace / retire</w:t>
            </w:r>
          </w:p>
        </w:tc>
        <w:tc>
          <w:tcPr>
            <w:tcW w:type="dxa" w:w="3456"/>
            <w:vAlign w:val="centre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2088"/>
            <w:vAlign w:val="centre"/>
            <w:shd w:fill="F3F7FA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rial" w:hAnsi="Arial"/>
                <w:b/>
                <w:sz w:val="16"/>
              </w:rPr>
              <w:t>Mandatory safeguards</w:t>
            </w:r>
          </w:p>
        </w:tc>
        <w:tc>
          <w:tcPr>
            <w:tcW w:type="dxa" w:w="4464"/>
            <w:vAlign w:val="centre"/>
            <w:shd w:fill="F3F7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Safety, lawful data use, privacy/security, equity, human oversight, monitoring, ability to stop</w:t>
            </w:r>
          </w:p>
        </w:tc>
        <w:tc>
          <w:tcPr>
            <w:tcW w:type="dxa" w:w="3456"/>
            <w:vAlign w:val="centre"/>
            <w:shd w:fill="F3F7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2088"/>
            <w:vAlign w:val="centre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rial" w:hAnsi="Arial"/>
                <w:b/>
                <w:sz w:val="16"/>
              </w:rPr>
              <w:t>Material unresolved issues</w:t>
            </w:r>
          </w:p>
        </w:tc>
        <w:tc>
          <w:tcPr>
            <w:tcW w:type="dxa" w:w="4464"/>
            <w:vAlign w:val="centre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Record gaps that could change the decision</w:t>
            </w:r>
          </w:p>
        </w:tc>
        <w:tc>
          <w:tcPr>
            <w:tcW w:type="dxa" w:w="3456"/>
            <w:vAlign w:val="centre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2088"/>
            <w:vAlign w:val="centre"/>
            <w:shd w:fill="F3F7FA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rial" w:hAnsi="Arial"/>
                <w:b/>
                <w:sz w:val="16"/>
              </w:rPr>
              <w:t>Conditions, owners, and due dates</w:t>
            </w:r>
          </w:p>
        </w:tc>
        <w:tc>
          <w:tcPr>
            <w:tcW w:type="dxa" w:w="4464"/>
            <w:vAlign w:val="centre"/>
            <w:shd w:fill="F3F7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Link every condition to an accountable owner and verification date</w:t>
            </w:r>
          </w:p>
        </w:tc>
        <w:tc>
          <w:tcPr>
            <w:tcW w:type="dxa" w:w="3456"/>
            <w:vAlign w:val="centre"/>
            <w:shd w:fill="F3F7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2088"/>
            <w:vAlign w:val="centre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rial" w:hAnsi="Arial"/>
                <w:b/>
                <w:sz w:val="16"/>
              </w:rPr>
              <w:t>Decision authority and date</w:t>
            </w:r>
          </w:p>
        </w:tc>
        <w:tc>
          <w:tcPr>
            <w:tcW w:type="dxa" w:w="4464"/>
            <w:vAlign w:val="centre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Named committee or executive authority</w:t>
            </w:r>
          </w:p>
        </w:tc>
        <w:tc>
          <w:tcPr>
            <w:tcW w:type="dxa" w:w="3456"/>
            <w:vAlign w:val="centre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2088"/>
            <w:vAlign w:val="centre"/>
            <w:shd w:fill="F3F7FA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rial" w:hAnsi="Arial"/>
                <w:b/>
                <w:sz w:val="16"/>
              </w:rPr>
              <w:t>Next review or trigger event</w:t>
            </w:r>
          </w:p>
        </w:tc>
        <w:tc>
          <w:tcPr>
            <w:tcW w:type="dxa" w:w="4464"/>
            <w:vAlign w:val="centre"/>
            <w:shd w:fill="F3F7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Date and event-triggered review conditions</w:t>
            </w:r>
          </w:p>
        </w:tc>
        <w:tc>
          <w:tcPr>
            <w:tcW w:type="dxa" w:w="3456"/>
            <w:vAlign w:val="centre"/>
            <w:shd w:fill="F3F7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</w:tbl>
    <w:p>
      <w:pPr>
        <w:spacing w:after="0"/>
      </w:pPr>
    </w:p>
    <w:sectPr w:rsidR="00FC693F" w:rsidRPr="0006063C" w:rsidSect="00034616">
      <w:footerReference w:type="default" r:id="rId9"/>
      <w:headerReference w:type="default" r:id="rId10"/>
      <w:headerReference w:type="first" r:id="rId11"/>
      <w:footerReference w:type="first" r:id="rId12"/>
      <w:headerReference w:type="even" r:id="rId13"/>
      <w:footerReference w:type="even" r:id="rId14"/>
      <w:pgSz w:w="12240" w:h="15840"/>
      <w:pgMar w:top="792" w:right="864" w:bottom="792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re"/>
    </w:pPr>
    <w:r>
      <w:rPr>
        <w:color w:val="5F5A5B"/>
        <w:sz w:val="15"/>
      </w:rPr>
      <w:t>Muthana Zouri · Carmen Marinela Cumpăt · Grigore T. Popa University of Medicine and Pharmacy Publishing House · 2026</w: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re"/>
    </w:pPr>
    <w:r/>
    <w:r>
      <w:rPr>
        <w:rFonts w:ascii="Georgia" w:hAnsi="Georgia"/>
        <w:b/>
        <w:color w:val="7B1734"/>
        <w:sz w:val="17"/>
      </w:rPr>
      <w:t>Artificial Intelligence and Healthcare Economics</w:t>
    </w:r>
    <w:r>
      <w:rPr>
        <w:color w:val="5F5A5B"/>
        <w:sz w:val="16"/>
      </w:rPr>
      <w:t xml:space="preserve"> · Digital Resource Companion · V1.0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re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Arial" w:hAnsi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re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re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1F4E79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1F4E79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eader" Target="header1.xml"/><Relationship Id="rId11" Type="http://schemas.openxmlformats.org/officeDocument/2006/relationships/header" Target="header2.xml"/><Relationship Id="rId12" Type="http://schemas.openxmlformats.org/officeDocument/2006/relationships/footer" Target="footer2.xml"/><Relationship Id="rId13" Type="http://schemas.openxmlformats.org/officeDocument/2006/relationships/header" Target="header3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ns0:Properties xmlns:ns0="http://schemas.openxmlformats.org/officeDocument/2006/extended-properties" xmlns:ns1="http://schemas.openxmlformats.org/officeDocument/2006/docPropsVTypes">
  <ns0:Template>Normal.dotm</ns0:Template>
  <ns0:TotalTime>0</ns0:TotalTime>
  <ns0:Pages>1</ns0:Pages>
  <ns0:Words>0</ns0:Words>
  <ns0:Characters>0</ns0:Characters>
  <ns0:Application>Office document</ns0:Application>
  <ns0:DocSecurity>0</ns0:DocSecurity>
  <ns0:Lines>0</ns0:Lines>
  <ns0:Paragraphs>0</ns0:Paragraphs>
  <ns0:ScaleCrop>false</ns0:ScaleCrop>
  <ns0:HeadingPairs>
    <ns1:vector size="2" baseType="variant">
      <ns1:variant>
        <ns1:lpstr>Title</ns1:lpstr>
      </ns1:variant>
      <ns1:variant>
        <ns1:i4>1</ns1:i4>
      </ns1:variant>
    </ns1:vector>
  </ns0:HeadingPairs>
  <ns0:TitlesOfParts>
    <ns1:vector size="1" baseType="lpstr">
      <ns1:lpstr/>
    </ns1:vector>
  </ns0:TitlesOfParts>
  <ns0:Manager/>
  <ns0:Company/>
  <ns0:LinksUpToDate>false</ns0:LinksUpToDate>
  <ns0:CharactersWithSpaces>0</ns0:CharactersWithSpaces>
  <ns0:SharedDoc>false</ns0:SharedDoc>
  <ns0:HyperlinkBase/>
  <ns0:HyperlinksChanged>false</ns0:HyperlinksChanged>
  <ns0:AppVersion/>
</ns0:Properties>
</file>

<file path=docProps/core.xml><?xml version="1.0" encoding="utf-8"?>
<ns0:coreProperties xmlns:dc="http://purl.org/dc/elements/1.1/" xmlns:ns0="http://schemas.openxmlformats.org/package/2006/metadata/core-properties" xmlns:ns2="http://purl.org/dc/terms/" xmlns:xsi="http://www.w3.org/2001/XMLSchema-instance">
  <dc:title>AIHE-EX15 fillable template</dc:title>
  <dc:creator>Muthana Zouri; Carmen Marinela Cumpăt</dc:creator>
  <ns0:lastModifiedBy/>
  <ns2:created xsi:type="dcterms:W3CDTF">2026-08-06T00:00:00Z</ns2:created>
  <ns2:modified xsi:type="dcterms:W3CDTF">2026-08-06T00:00:00Z</ns2:modified>
  <dc:description/>
  <dc:subject>Evidence, Value, Governance, and Sustainability</dc:subject>
  <ns0:category>Digital Resource Companion</ns0:category>
  <ns0:keywords>healthcare economics; artificial intelligence; governance; sustainable value</ns0:keywords>
</ns0:coreProperties>
</file>