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Scenario Planning and Real-Options Worksheet</w:t>
      </w:r>
    </w:p>
    <w:p>
      <w:pPr>
        <w:jc w:val="centre"/>
      </w:pPr>
      <w:r>
        <w:rPr>
          <w:b/>
          <w:color w:val="7A2334"/>
        </w:rPr>
        <w:t>AIHE-RG05</w:t>
      </w:r>
    </w:p>
    <w:p>
      <w:pPr>
        <w:spacing w:after="40"/>
      </w:pPr>
      <w:r>
        <w:rPr>
          <w:b/>
        </w:rPr>
        <w:t xml:space="preserve">Primary chapter: </w:t>
      </w:r>
      <w:r>
        <w:t>8 — Decision Modelling and Simulation Under Uncertainty</w:t>
      </w:r>
    </w:p>
    <w:p>
      <w:pPr>
        <w:spacing w:after="40"/>
      </w:pPr>
      <w:r>
        <w:rPr>
          <w:b/>
        </w:rPr>
        <w:t xml:space="preserve">Additional chapter alignment: </w:t>
      </w:r>
      <w:r>
        <w:t>1, 6-9, 12, 15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Examine uncertainty through alternative futures, thresholds, staged commitments, learning options, contract flexibility, and explicit exit criteria.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Key uncertainty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Probability or qualitative likelihood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Outcome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Equity or trust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threshold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Evidence to collect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Reversibility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Contract or technical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Scale restrict or stop trigger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Review date</w:t>
            </w:r>
          </w:p>
        </w:tc>
      </w:tr>
      <w:tr>
        <w:tc>
          <w:tcPr>
            <w:tcW w:type="dxa" w:w="1089"/>
            <w:vAlign w:val="top"/>
            <w:shd w:fill="F2E8EB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AIHE-RG05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