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Vendor Evidence and Contract Requirements</w:t>
      </w:r>
    </w:p>
    <w:p>
      <w:pPr>
        <w:jc w:val="centre"/>
      </w:pPr>
      <w:r>
        <w:rPr>
          <w:b/>
          <w:color w:val="7A2334"/>
        </w:rPr>
        <w:t>AIHE-D01</w:t>
      </w:r>
    </w:p>
    <w:p>
      <w:pPr>
        <w:spacing w:after="40"/>
      </w:pPr>
      <w:r>
        <w:rPr>
          <w:b/>
        </w:rPr>
        <w:t xml:space="preserve">Primary chapter: </w:t>
      </w:r>
      <w:r>
        <w:t>9 — Problem-First Procurement and Vendor Governance</w:t>
      </w:r>
    </w:p>
    <w:p>
      <w:pPr>
        <w:spacing w:after="40"/>
      </w:pPr>
      <w:r>
        <w:rPr>
          <w:b/>
        </w:rPr>
        <w:t xml:space="preserve">Additional chapter alignment: </w:t>
      </w:r>
      <w:r>
        <w:t>6, 9, 10, 12, 14</w:t>
      </w:r>
    </w:p>
    <w:p>
      <w:pPr>
        <w:spacing w:after="40"/>
      </w:pPr>
      <w:r>
        <w:rPr>
          <w:b/>
        </w:rPr>
        <w:t xml:space="preserve">Legacy aliases: </w:t>
      </w:r>
      <w:r>
        <w:t>AIHE-D, AIHE-EX08, AIHE-EX09</w:t>
      </w:r>
    </w:p>
    <w:p>
      <w:pPr>
        <w:spacing w:after="40"/>
      </w:pPr>
      <w:r>
        <w:rPr>
          <w:b/>
        </w:rPr>
        <w:t xml:space="preserve">Version: </w:t>
      </w:r>
      <w:r>
        <w:t>V1.0</w:t>
      </w:r>
    </w:p>
    <w:p>
      <w:pPr>
        <w:pStyle w:val="Heading1"/>
      </w:pPr>
      <w:r>
        <w:t>Purpose</w:t>
      </w:r>
    </w:p>
    <w:p>
      <w:r>
        <w:t>Translate evidence, interoperability, data, security, monitoring, update, service, remedy, portability, and exit requirements into contract terms.</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documentation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2542"/>
        <w:gridCol w:w="2542"/>
        <w:gridCol w:w="2542"/>
        <w:gridCol w:w="2542"/>
        <w:gridCol w:w="2542"/>
        <w:gridCol w:w="2542"/>
      </w:tblGrid>
      <w:tr>
        <w:trPr>
          <w:tblHeader w:val="true"/>
        </w:trPr>
        <w:tc>
          <w:tcPr>
            <w:tcW w:type="dxa" w:w="2542"/>
            <w:shd w:fill="7A2334"/>
          </w:tcPr>
          <w:p>
            <w:r>
              <w:rPr>
                <w:b/>
                <w:color w:val="FFFFFF"/>
                <w:sz w:val="15"/>
              </w:rPr>
              <w:t>Requirement</w:t>
            </w:r>
          </w:p>
        </w:tc>
        <w:tc>
          <w:tcPr>
            <w:tcW w:type="dxa" w:w="2542"/>
            <w:shd w:fill="7A2334"/>
          </w:tcPr>
          <w:p>
            <w:r>
              <w:rPr>
                <w:b/>
                <w:color w:val="FFFFFF"/>
                <w:sz w:val="15"/>
              </w:rPr>
              <w:t>Evidence or clause requested</w:t>
            </w:r>
          </w:p>
        </w:tc>
        <w:tc>
          <w:tcPr>
            <w:tcW w:type="dxa" w:w="2542"/>
            <w:shd w:fill="7A2334"/>
          </w:tcPr>
          <w:p>
            <w:r>
              <w:rPr>
                <w:b/>
                <w:color w:val="FFFFFF"/>
                <w:sz w:val="15"/>
              </w:rPr>
              <w:t>Independent and local verification</w:t>
            </w:r>
          </w:p>
        </w:tc>
        <w:tc>
          <w:tcPr>
            <w:tcW w:type="dxa" w:w="2542"/>
            <w:shd w:fill="7A2334"/>
          </w:tcPr>
          <w:p>
            <w:r>
              <w:rPr>
                <w:b/>
                <w:color w:val="FFFFFF"/>
                <w:sz w:val="15"/>
              </w:rPr>
              <w:t>Risk if absent or incorrect</w:t>
            </w:r>
          </w:p>
        </w:tc>
        <w:tc>
          <w:tcPr>
            <w:tcW w:type="dxa" w:w="2542"/>
            <w:shd w:fill="7A2334"/>
          </w:tcPr>
          <w:p>
            <w:r>
              <w:rPr>
                <w:b/>
                <w:color w:val="FFFFFF"/>
                <w:sz w:val="15"/>
              </w:rPr>
              <w:t>Remedy and exit position</w:t>
            </w:r>
          </w:p>
        </w:tc>
        <w:tc>
          <w:tcPr>
            <w:tcW w:type="dxa" w:w="2542"/>
            <w:shd w:fill="7A2334"/>
          </w:tcPr>
          <w:p>
            <w:r>
              <w:rPr>
                <w:b/>
                <w:color w:val="FFFFFF"/>
                <w:sz w:val="15"/>
              </w:rPr>
              <w:t>Owner and status</w:t>
            </w:r>
          </w:p>
        </w:tc>
      </w:tr>
      <w:tr>
        <w:tc>
          <w:tcPr>
            <w:tcW w:type="dxa" w:w="2542"/>
            <w:vAlign w:val="top"/>
            <w:shd w:fill="F2E8EB"/>
          </w:tcPr>
          <w:p>
            <w:r>
              <w:rPr>
                <w:sz w:val="14"/>
              </w:rPr>
              <w:t>Intended use, excluded use, population, and version</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Clinical, technical, human-factors, and economic evidence</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Interoperability, data quality, provenance, and portability</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Privacy, cybersecurity, resilience, subprocessors, and incidents</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Pricing units, volume exposure, integration, support, and escalation</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Updates, material change, validation, approval, rollback, and notice</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Monitoring data, audit rights, logs, model card, and assurance cooperation</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Service levels, downtime, fallback, continuity, and support</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Termination, transition, deletion, archive, take-back, and decommissioning</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2542"/>
        <w:gridCol w:w="2542"/>
        <w:gridCol w:w="2542"/>
        <w:gridCol w:w="2542"/>
        <w:gridCol w:w="2542"/>
        <w:gridCol w:w="2542"/>
      </w:tblGrid>
      <w:tr>
        <w:trPr>
          <w:tblHeader w:val="true"/>
        </w:trPr>
        <w:tc>
          <w:tcPr>
            <w:tcW w:type="dxa" w:w="2542"/>
            <w:shd w:fill="52565A"/>
          </w:tcPr>
          <w:p>
            <w:r>
              <w:rPr>
                <w:b/>
                <w:color w:val="FFFFFF"/>
                <w:sz w:val="15"/>
              </w:rPr>
              <w:t>Requirement</w:t>
            </w:r>
          </w:p>
        </w:tc>
        <w:tc>
          <w:tcPr>
            <w:tcW w:type="dxa" w:w="2542"/>
            <w:shd w:fill="52565A"/>
          </w:tcPr>
          <w:p>
            <w:r>
              <w:rPr>
                <w:b/>
                <w:color w:val="FFFFFF"/>
                <w:sz w:val="15"/>
              </w:rPr>
              <w:t>Evidence or clause requested</w:t>
            </w:r>
          </w:p>
        </w:tc>
        <w:tc>
          <w:tcPr>
            <w:tcW w:type="dxa" w:w="2542"/>
            <w:shd w:fill="52565A"/>
          </w:tcPr>
          <w:p>
            <w:r>
              <w:rPr>
                <w:b/>
                <w:color w:val="FFFFFF"/>
                <w:sz w:val="15"/>
              </w:rPr>
              <w:t>Independent and local verification</w:t>
            </w:r>
          </w:p>
        </w:tc>
        <w:tc>
          <w:tcPr>
            <w:tcW w:type="dxa" w:w="2542"/>
            <w:shd w:fill="52565A"/>
          </w:tcPr>
          <w:p>
            <w:r>
              <w:rPr>
                <w:b/>
                <w:color w:val="FFFFFF"/>
                <w:sz w:val="15"/>
              </w:rPr>
              <w:t>Risk if absent or incorrect</w:t>
            </w:r>
          </w:p>
        </w:tc>
        <w:tc>
          <w:tcPr>
            <w:tcW w:type="dxa" w:w="2542"/>
            <w:shd w:fill="52565A"/>
          </w:tcPr>
          <w:p>
            <w:r>
              <w:rPr>
                <w:b/>
                <w:color w:val="FFFFFF"/>
                <w:sz w:val="15"/>
              </w:rPr>
              <w:t>Remedy and exit position</w:t>
            </w:r>
          </w:p>
        </w:tc>
        <w:tc>
          <w:tcPr>
            <w:tcW w:type="dxa" w:w="2542"/>
            <w:shd w:fill="52565A"/>
          </w:tcPr>
          <w:p>
            <w:r>
              <w:rPr>
                <w:b/>
                <w:color w:val="FFFFFF"/>
                <w:sz w:val="15"/>
              </w:rPr>
              <w:t>Owner and status</w:t>
            </w:r>
          </w:p>
        </w:tc>
      </w:tr>
      <w:tr>
        <w:tc>
          <w:tcPr>
            <w:tcW w:type="dxa" w:w="2542"/>
            <w:vAlign w:val="top"/>
            <w:shd w:fill="EFEFEF"/>
          </w:tcPr>
          <w:p>
            <w:r>
              <w:rPr>
                <w:sz w:val="14"/>
              </w:rPr>
              <w:t>Intended use, excluded use, population, and version</w:t>
            </w:r>
          </w:p>
        </w:tc>
        <w:tc>
          <w:tcPr>
            <w:tcW w:type="dxa" w:w="2542"/>
            <w:vAlign w:val="top"/>
          </w:tcPr>
          <w:p>
            <w:r>
              <w:rPr>
                <w:sz w:val="14"/>
              </w:rPr>
              <w:t>Synthetic local baseline report; controlled dataset v1.2; evidence cut-off 2026-01-31.</w:t>
            </w:r>
          </w:p>
        </w:tc>
        <w:tc>
          <w:tcPr>
            <w:tcW w:type="dxa" w:w="2542"/>
            <w:vAlign w:val="top"/>
          </w:tcPr>
          <w:p>
            <w:r>
              <w:rPr>
                <w:sz w:val="14"/>
              </w:rPr>
              <w:t>Synthetic local baseline report; controlled dataset v1.2; evidence cut-off 2026-01-31.</w:t>
            </w:r>
          </w:p>
        </w:tc>
        <w:tc>
          <w:tcPr>
            <w:tcW w:type="dxa" w:w="2542"/>
            <w:vAlign w:val="top"/>
          </w:tcPr>
          <w:p>
            <w:r>
              <w:rPr>
                <w:sz w:val="14"/>
              </w:rPr>
              <w:t>Moderate residual risk; remediate before scale and review monthly during pilot.</w:t>
            </w:r>
          </w:p>
        </w:tc>
        <w:tc>
          <w:tcPr>
            <w:tcW w:type="dxa" w:w="2542"/>
            <w:vAlign w:val="top"/>
          </w:tcPr>
          <w:p>
            <w:r>
              <w:rPr>
                <w:sz w:val="14"/>
              </w:rPr>
              <w:t>Proceed conditionally after documented remediation, owner approval, and verification.</w:t>
            </w:r>
          </w:p>
        </w:tc>
        <w:tc>
          <w:tcPr>
            <w:tcW w:type="dxa" w:w="2542"/>
            <w:vAlign w:val="top"/>
          </w:tcPr>
          <w:p>
            <w:r>
              <w:rPr>
                <w:sz w:val="14"/>
              </w:rPr>
              <w:t>Conditionally ready</w:t>
            </w:r>
          </w:p>
        </w:tc>
      </w:tr>
      <w:tr>
        <w:tc>
          <w:tcPr>
            <w:tcW w:type="dxa" w:w="2542"/>
            <w:vAlign w:val="top"/>
            <w:shd w:fill="EFEFEF"/>
          </w:tcPr>
          <w:p>
            <w:r>
              <w:rPr>
                <w:sz w:val="14"/>
              </w:rPr>
              <w:t>Clinical, technical, human-factors, and economic evidence</w:t>
            </w:r>
          </w:p>
        </w:tc>
        <w:tc>
          <w:tcPr>
            <w:tcW w:type="dxa" w:w="2542"/>
            <w:vAlign w:val="top"/>
          </w:tcPr>
          <w:p>
            <w:r>
              <w:rPr>
                <w:sz w:val="14"/>
              </w:rPr>
              <w:t>Synthetic local baseline report; controlled dataset v1.2; evidence cut-off 2026-01-31.</w:t>
            </w:r>
          </w:p>
        </w:tc>
        <w:tc>
          <w:tcPr>
            <w:tcW w:type="dxa" w:w="2542"/>
            <w:vAlign w:val="top"/>
          </w:tcPr>
          <w:p>
            <w:r>
              <w:rPr>
                <w:sz w:val="14"/>
              </w:rPr>
              <w:t>Synthetic local baseline report; controlled dataset v1.2; evidence cut-off 2026-01-31.</w:t>
            </w:r>
          </w:p>
        </w:tc>
        <w:tc>
          <w:tcPr>
            <w:tcW w:type="dxa" w:w="2542"/>
            <w:vAlign w:val="top"/>
          </w:tcPr>
          <w:p>
            <w:r>
              <w:rPr>
                <w:sz w:val="14"/>
              </w:rPr>
              <w:t>Moderate residual risk; remediate before scale and review monthly during pilot.</w:t>
            </w:r>
          </w:p>
        </w:tc>
        <w:tc>
          <w:tcPr>
            <w:tcW w:type="dxa" w:w="2542"/>
            <w:vAlign w:val="top"/>
          </w:tcPr>
          <w:p>
            <w:r>
              <w:rPr>
                <w:sz w:val="14"/>
              </w:rPr>
              <w:t>Proceed conditionally after documented remediation, owner approval, and verification.</w:t>
            </w:r>
          </w:p>
        </w:tc>
        <w:tc>
          <w:tcPr>
            <w:tcW w:type="dxa" w:w="2542"/>
            <w:vAlign w:val="top"/>
          </w:tcPr>
          <w:p>
            <w:r>
              <w:rPr>
                <w:sz w:val="14"/>
              </w:rPr>
              <w:t>Conditionally ready</w:t>
            </w:r>
          </w:p>
        </w:tc>
      </w:tr>
      <w:tr>
        <w:tc>
          <w:tcPr>
            <w:tcW w:type="dxa" w:w="2542"/>
            <w:vAlign w:val="top"/>
            <w:shd w:fill="EFEFEF"/>
          </w:tcPr>
          <w:p>
            <w:r>
              <w:rPr>
                <w:sz w:val="14"/>
              </w:rPr>
              <w:t>Interoperability, data quality, provenance, and portability</w:t>
            </w:r>
          </w:p>
        </w:tc>
        <w:tc>
          <w:tcPr>
            <w:tcW w:type="dxa" w:w="2542"/>
            <w:vAlign w:val="top"/>
          </w:tcPr>
          <w:p>
            <w:r>
              <w:rPr>
                <w:sz w:val="14"/>
              </w:rPr>
              <w:t>Synthetic local baseline report; controlled dataset v1.2; evidence cut-off 2026-01-31.</w:t>
            </w:r>
          </w:p>
        </w:tc>
        <w:tc>
          <w:tcPr>
            <w:tcW w:type="dxa" w:w="2542"/>
            <w:vAlign w:val="top"/>
          </w:tcPr>
          <w:p>
            <w:r>
              <w:rPr>
                <w:sz w:val="14"/>
              </w:rPr>
              <w:t>Synthetic local baseline report; controlled dataset v1.2; evidence cut-off 2026-01-31.</w:t>
            </w:r>
          </w:p>
        </w:tc>
        <w:tc>
          <w:tcPr>
            <w:tcW w:type="dxa" w:w="2542"/>
            <w:vAlign w:val="top"/>
          </w:tcPr>
          <w:p>
            <w:r>
              <w:rPr>
                <w:sz w:val="14"/>
              </w:rPr>
              <w:t>Moderate residual risk; remediate before scale and review monthly during pilot.</w:t>
            </w:r>
          </w:p>
        </w:tc>
        <w:tc>
          <w:tcPr>
            <w:tcW w:type="dxa" w:w="2542"/>
            <w:vAlign w:val="top"/>
          </w:tcPr>
          <w:p>
            <w:r>
              <w:rPr>
                <w:sz w:val="14"/>
              </w:rPr>
              <w:t>Proceed conditionally after documented remediation, owner approval, and verification.</w:t>
            </w:r>
          </w:p>
        </w:tc>
        <w:tc>
          <w:tcPr>
            <w:tcW w:type="dxa" w:w="2542"/>
            <w:vAlign w:val="top"/>
          </w:tcPr>
          <w:p>
            <w:r>
              <w:rPr>
                <w:sz w:val="14"/>
              </w:rPr>
              <w:t>Conditionally ready</w:t>
            </w:r>
          </w:p>
        </w:tc>
      </w:tr>
      <w:tr>
        <w:tc>
          <w:tcPr>
            <w:tcW w:type="dxa" w:w="2542"/>
            <w:vAlign w:val="top"/>
            <w:shd w:fill="EFEFEF"/>
          </w:tcPr>
          <w:p>
            <w:r>
              <w:rPr>
                <w:sz w:val="14"/>
              </w:rPr>
              <w:t>Privacy, cybersecurity, resilience, subprocessors, and incidents</w:t>
            </w:r>
          </w:p>
        </w:tc>
        <w:tc>
          <w:tcPr>
            <w:tcW w:type="dxa" w:w="2542"/>
            <w:vAlign w:val="top"/>
          </w:tcPr>
          <w:p>
            <w:r>
              <w:rPr>
                <w:sz w:val="14"/>
              </w:rPr>
              <w:t>Synthetic local baseline report; controlled dataset v1.2; evidence cut-off 2026-01-31.</w:t>
            </w:r>
          </w:p>
        </w:tc>
        <w:tc>
          <w:tcPr>
            <w:tcW w:type="dxa" w:w="2542"/>
            <w:vAlign w:val="top"/>
          </w:tcPr>
          <w:p>
            <w:r>
              <w:rPr>
                <w:sz w:val="14"/>
              </w:rPr>
              <w:t>Synthetic local baseline report; controlled dataset v1.2; evidence cut-off 2026-01-31.</w:t>
            </w:r>
          </w:p>
        </w:tc>
        <w:tc>
          <w:tcPr>
            <w:tcW w:type="dxa" w:w="2542"/>
            <w:vAlign w:val="top"/>
          </w:tcPr>
          <w:p>
            <w:r>
              <w:rPr>
                <w:sz w:val="14"/>
              </w:rPr>
              <w:t>Moderate residual risk; remediate before scale and review monthly during pilot.</w:t>
            </w:r>
          </w:p>
        </w:tc>
        <w:tc>
          <w:tcPr>
            <w:tcW w:type="dxa" w:w="2542"/>
            <w:vAlign w:val="top"/>
          </w:tcPr>
          <w:p>
            <w:r>
              <w:rPr>
                <w:sz w:val="14"/>
              </w:rPr>
              <w:t>Proceed conditionally after documented remediation, owner approval, and verification.</w:t>
            </w:r>
          </w:p>
        </w:tc>
        <w:tc>
          <w:tcPr>
            <w:tcW w:type="dxa" w:w="2542"/>
            <w:vAlign w:val="top"/>
          </w:tcPr>
          <w:p>
            <w:r>
              <w:rPr>
                <w:sz w:val="14"/>
              </w:rPr>
              <w:t>Conditionally ready</w:t>
            </w:r>
          </w:p>
        </w:tc>
      </w:tr>
      <w:tr>
        <w:tc>
          <w:tcPr>
            <w:tcW w:type="dxa" w:w="2542"/>
            <w:vAlign w:val="top"/>
            <w:shd w:fill="EFEFEF"/>
          </w:tcPr>
          <w:p>
            <w:r>
              <w:rPr>
                <w:sz w:val="14"/>
              </w:rPr>
              <w:t>Pricing units, volume exposure, integration, support, and escalation</w:t>
            </w:r>
          </w:p>
        </w:tc>
        <w:tc>
          <w:tcPr>
            <w:tcW w:type="dxa" w:w="2542"/>
            <w:vAlign w:val="top"/>
          </w:tcPr>
          <w:p>
            <w:r>
              <w:rPr>
                <w:sz w:val="14"/>
              </w:rPr>
              <w:t>Synthetic local baseline report; controlled dataset v1.2; evidence cut-off 2026-01-31.</w:t>
            </w:r>
          </w:p>
        </w:tc>
        <w:tc>
          <w:tcPr>
            <w:tcW w:type="dxa" w:w="2542"/>
            <w:vAlign w:val="top"/>
          </w:tcPr>
          <w:p>
            <w:r>
              <w:rPr>
                <w:sz w:val="14"/>
              </w:rPr>
              <w:t>Synthetic local baseline report; controlled dataset v1.2; evidence cut-off 2026-01-31.</w:t>
            </w:r>
          </w:p>
        </w:tc>
        <w:tc>
          <w:tcPr>
            <w:tcW w:type="dxa" w:w="2542"/>
            <w:vAlign w:val="top"/>
          </w:tcPr>
          <w:p>
            <w:r>
              <w:rPr>
                <w:sz w:val="14"/>
              </w:rPr>
              <w:t>Moderate residual risk; remediate before scale and review monthly during pilot.</w:t>
            </w:r>
          </w:p>
        </w:tc>
        <w:tc>
          <w:tcPr>
            <w:tcW w:type="dxa" w:w="2542"/>
            <w:vAlign w:val="top"/>
          </w:tcPr>
          <w:p>
            <w:r>
              <w:rPr>
                <w:sz w:val="14"/>
              </w:rPr>
              <w:t>Proceed conditionally after documented remediation, owner approval, and verification.</w:t>
            </w:r>
          </w:p>
        </w:tc>
        <w:tc>
          <w:tcPr>
            <w:tcW w:type="dxa" w:w="2542"/>
            <w:vAlign w:val="top"/>
          </w:tcPr>
          <w:p>
            <w:r>
              <w:rPr>
                <w:sz w:val="14"/>
              </w:rPr>
              <w:t>Conditionally ready</w:t>
            </w:r>
          </w:p>
        </w:tc>
      </w:tr>
      <w:tr>
        <w:tc>
          <w:tcPr>
            <w:tcW w:type="dxa" w:w="2542"/>
            <w:vAlign w:val="top"/>
            <w:shd w:fill="EFEFEF"/>
          </w:tcPr>
          <w:p>
            <w:r>
              <w:rPr>
                <w:sz w:val="14"/>
              </w:rPr>
              <w:t>Updates, material change, validation, approval, rollback, and notice</w:t>
            </w:r>
          </w:p>
        </w:tc>
        <w:tc>
          <w:tcPr>
            <w:tcW w:type="dxa" w:w="2542"/>
            <w:vAlign w:val="top"/>
          </w:tcPr>
          <w:p>
            <w:r>
              <w:rPr>
                <w:sz w:val="14"/>
              </w:rPr>
              <w:t>Synthetic local baseline report; controlled dataset v1.2; evidence cut-off 2026-01-31.</w:t>
            </w:r>
          </w:p>
        </w:tc>
        <w:tc>
          <w:tcPr>
            <w:tcW w:type="dxa" w:w="2542"/>
            <w:vAlign w:val="top"/>
          </w:tcPr>
          <w:p>
            <w:r>
              <w:rPr>
                <w:sz w:val="14"/>
              </w:rPr>
              <w:t>Synthetic local baseline report; controlled dataset v1.2; evidence cut-off 2026-01-31.</w:t>
            </w:r>
          </w:p>
        </w:tc>
        <w:tc>
          <w:tcPr>
            <w:tcW w:type="dxa" w:w="2542"/>
            <w:vAlign w:val="top"/>
          </w:tcPr>
          <w:p>
            <w:r>
              <w:rPr>
                <w:sz w:val="14"/>
              </w:rPr>
              <w:t>Moderate residual risk; remediate before scale and review monthly during pilot.</w:t>
            </w:r>
          </w:p>
        </w:tc>
        <w:tc>
          <w:tcPr>
            <w:tcW w:type="dxa" w:w="2542"/>
            <w:vAlign w:val="top"/>
          </w:tcPr>
          <w:p>
            <w:r>
              <w:rPr>
                <w:sz w:val="14"/>
              </w:rPr>
              <w:t>Proceed conditionally after documented remediation, owner approval, and verification.</w:t>
            </w:r>
          </w:p>
        </w:tc>
        <w:tc>
          <w:tcPr>
            <w:tcW w:type="dxa" w:w="2542"/>
            <w:vAlign w:val="top"/>
          </w:tcPr>
          <w:p>
            <w:r>
              <w:rPr>
                <w:sz w:val="14"/>
              </w:rPr>
              <w:t>Conditionally ready</w:t>
            </w:r>
          </w:p>
        </w:tc>
      </w:tr>
      <w:tr>
        <w:tc>
          <w:tcPr>
            <w:tcW w:type="dxa" w:w="2542"/>
            <w:vAlign w:val="top"/>
            <w:shd w:fill="EFEFEF"/>
          </w:tcPr>
          <w:p>
            <w:r>
              <w:rPr>
                <w:sz w:val="14"/>
              </w:rPr>
              <w:t>Monitoring data, audit rights, logs, model card, and assurance cooperation</w:t>
            </w:r>
          </w:p>
        </w:tc>
        <w:tc>
          <w:tcPr>
            <w:tcW w:type="dxa" w:w="2542"/>
            <w:vAlign w:val="top"/>
          </w:tcPr>
          <w:p>
            <w:r>
              <w:rPr>
                <w:sz w:val="14"/>
              </w:rPr>
              <w:t>Synthetic local baseline report; controlled dataset v1.2; evidence cut-off 2026-01-31.</w:t>
            </w:r>
          </w:p>
        </w:tc>
        <w:tc>
          <w:tcPr>
            <w:tcW w:type="dxa" w:w="2542"/>
            <w:vAlign w:val="top"/>
          </w:tcPr>
          <w:p>
            <w:r>
              <w:rPr>
                <w:sz w:val="14"/>
              </w:rPr>
              <w:t>Synthetic local baseline report; controlled dataset v1.2; evidence cut-off 2026-01-31.</w:t>
            </w:r>
          </w:p>
        </w:tc>
        <w:tc>
          <w:tcPr>
            <w:tcW w:type="dxa" w:w="2542"/>
            <w:vAlign w:val="top"/>
          </w:tcPr>
          <w:p>
            <w:r>
              <w:rPr>
                <w:sz w:val="14"/>
              </w:rPr>
              <w:t>Moderate residual risk; remediate before scale and review monthly during pilot.</w:t>
            </w:r>
          </w:p>
        </w:tc>
        <w:tc>
          <w:tcPr>
            <w:tcW w:type="dxa" w:w="2542"/>
            <w:vAlign w:val="top"/>
          </w:tcPr>
          <w:p>
            <w:r>
              <w:rPr>
                <w:sz w:val="14"/>
              </w:rPr>
              <w:t>Proceed conditionally after documented remediation, owner approval, and verification.</w:t>
            </w:r>
          </w:p>
        </w:tc>
        <w:tc>
          <w:tcPr>
            <w:tcW w:type="dxa" w:w="2542"/>
            <w:vAlign w:val="top"/>
          </w:tcPr>
          <w:p>
            <w:r>
              <w:rPr>
                <w:sz w:val="14"/>
              </w:rPr>
              <w:t>Conditionally ready</w:t>
            </w:r>
          </w:p>
        </w:tc>
      </w:tr>
      <w:tr>
        <w:tc>
          <w:tcPr>
            <w:tcW w:type="dxa" w:w="2542"/>
            <w:vAlign w:val="top"/>
            <w:shd w:fill="EFEFEF"/>
          </w:tcPr>
          <w:p>
            <w:r>
              <w:rPr>
                <w:sz w:val="14"/>
              </w:rPr>
              <w:t>Service levels, downtime, fallback, continuity, and support</w:t>
            </w:r>
          </w:p>
        </w:tc>
        <w:tc>
          <w:tcPr>
            <w:tcW w:type="dxa" w:w="2542"/>
            <w:vAlign w:val="top"/>
          </w:tcPr>
          <w:p>
            <w:r>
              <w:rPr>
                <w:sz w:val="14"/>
              </w:rPr>
              <w:t>Synthetic local baseline report; controlled dataset v1.2; evidence cut-off 2026-01-31.</w:t>
            </w:r>
          </w:p>
        </w:tc>
        <w:tc>
          <w:tcPr>
            <w:tcW w:type="dxa" w:w="2542"/>
            <w:vAlign w:val="top"/>
          </w:tcPr>
          <w:p>
            <w:r>
              <w:rPr>
                <w:sz w:val="14"/>
              </w:rPr>
              <w:t>Synthetic local baseline report; controlled dataset v1.2; evidence cut-off 2026-01-31.</w:t>
            </w:r>
          </w:p>
        </w:tc>
        <w:tc>
          <w:tcPr>
            <w:tcW w:type="dxa" w:w="2542"/>
            <w:vAlign w:val="top"/>
          </w:tcPr>
          <w:p>
            <w:r>
              <w:rPr>
                <w:sz w:val="14"/>
              </w:rPr>
              <w:t>Moderate residual risk; remediate before scale and review monthly during pilot.</w:t>
            </w:r>
          </w:p>
        </w:tc>
        <w:tc>
          <w:tcPr>
            <w:tcW w:type="dxa" w:w="2542"/>
            <w:vAlign w:val="top"/>
          </w:tcPr>
          <w:p>
            <w:r>
              <w:rPr>
                <w:sz w:val="14"/>
              </w:rPr>
              <w:t>Proceed conditionally after documented remediation, owner approval, and verification.</w:t>
            </w:r>
          </w:p>
        </w:tc>
        <w:tc>
          <w:tcPr>
            <w:tcW w:type="dxa" w:w="2542"/>
            <w:vAlign w:val="top"/>
          </w:tcPr>
          <w:p>
            <w:r>
              <w:rPr>
                <w:sz w:val="14"/>
              </w:rPr>
              <w:t>Conditionally ready</w:t>
            </w:r>
          </w:p>
        </w:tc>
      </w:tr>
      <w:tr>
        <w:tc>
          <w:tcPr>
            <w:tcW w:type="dxa" w:w="2542"/>
            <w:vAlign w:val="top"/>
            <w:shd w:fill="EFEFEF"/>
          </w:tcPr>
          <w:p>
            <w:r>
              <w:rPr>
                <w:sz w:val="14"/>
              </w:rPr>
              <w:t>Termination, transition, deletion, archive, take-back, and decommissioning</w:t>
            </w:r>
          </w:p>
        </w:tc>
        <w:tc>
          <w:tcPr>
            <w:tcW w:type="dxa" w:w="2542"/>
            <w:vAlign w:val="top"/>
          </w:tcPr>
          <w:p>
            <w:r>
              <w:rPr>
                <w:sz w:val="14"/>
              </w:rPr>
              <w:t>Synthetic local baseline report; controlled dataset v1.2; evidence cut-off 2026-01-31.</w:t>
            </w:r>
          </w:p>
        </w:tc>
        <w:tc>
          <w:tcPr>
            <w:tcW w:type="dxa" w:w="2542"/>
            <w:vAlign w:val="top"/>
          </w:tcPr>
          <w:p>
            <w:r>
              <w:rPr>
                <w:sz w:val="14"/>
              </w:rPr>
              <w:t>Synthetic local baseline report; controlled dataset v1.2; evidence cut-off 2026-01-31.</w:t>
            </w:r>
          </w:p>
        </w:tc>
        <w:tc>
          <w:tcPr>
            <w:tcW w:type="dxa" w:w="2542"/>
            <w:vAlign w:val="top"/>
          </w:tcPr>
          <w:p>
            <w:r>
              <w:rPr>
                <w:sz w:val="14"/>
              </w:rPr>
              <w:t>Moderate residual risk; remediate before scale and review monthly during pilot.</w:t>
            </w:r>
          </w:p>
        </w:tc>
        <w:tc>
          <w:tcPr>
            <w:tcW w:type="dxa" w:w="2542"/>
            <w:vAlign w:val="top"/>
          </w:tcPr>
          <w:p>
            <w:r>
              <w:rPr>
                <w:sz w:val="14"/>
              </w:rPr>
              <w:t>Proceed conditionally after documented remediation, owner approval, and verification.</w:t>
            </w:r>
          </w:p>
        </w:tc>
        <w:tc>
          <w:tcPr>
            <w:tcW w:type="dxa" w:w="2542"/>
            <w:vAlign w:val="top"/>
          </w:tcPr>
          <w:p>
            <w:r>
              <w:rPr>
                <w:sz w:val="14"/>
              </w:rPr>
              <w:t>Conditionally ready</w:t>
            </w:r>
          </w:p>
        </w:tc>
      </w:tr>
    </w:tbl>
    <w:sectPr w:rsidR="00FC693F" w:rsidRPr="0006063C" w:rsidSect="00034616">
      <w:footerReference w:type="default" r:id="rId9"/>
      <w:headerReference w:type="default" r:id="rId10"/>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AIHE-D01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