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Integrated Institutional-Risk Review</w:t>
      </w:r>
    </w:p>
    <w:p>
      <w:pPr>
        <w:jc w:val="centre"/>
      </w:pPr>
      <w:r>
        <w:rPr>
          <w:b/>
          <w:color w:val="7A2334"/>
        </w:rPr>
        <w:t>AIHE-C03</w:t>
      </w:r>
    </w:p>
    <w:p>
      <w:pPr>
        <w:spacing w:after="40"/>
      </w:pPr>
      <w:r>
        <w:rPr>
          <w:b/>
        </w:rPr>
        <w:t xml:space="preserve">Primary chapter: </w:t>
      </w:r>
      <w:r>
        <w:t>10 — Governance, Accountability, and Institutional Risk</w:t>
      </w:r>
    </w:p>
    <w:p>
      <w:pPr>
        <w:spacing w:after="40"/>
      </w:pPr>
      <w:r>
        <w:rPr>
          <w:b/>
        </w:rPr>
        <w:t xml:space="preserve">Additional chapter alignment: </w:t>
      </w:r>
      <w:r>
        <w:t>10, 12</w:t>
      </w:r>
    </w:p>
    <w:p>
      <w:pPr>
        <w:spacing w:after="40"/>
      </w:pPr>
      <w:r>
        <w:rPr>
          <w:b/>
        </w:rPr>
        <w:t xml:space="preserve">Legacy aliases: </w:t>
      </w:r>
      <w:r>
        <w:t>AIHE-C, AIHE-AB, AIHE-AC, AIHE-N, AIHE-G</w:t>
      </w:r>
    </w:p>
    <w:p>
      <w:pPr>
        <w:spacing w:after="40"/>
      </w:pPr>
      <w:r>
        <w:rPr>
          <w:b/>
        </w:rPr>
        <w:t xml:space="preserve">Version: </w:t>
      </w:r>
      <w:r>
        <w:t>V1.0</w:t>
      </w:r>
    </w:p>
    <w:p>
      <w:pPr>
        <w:pStyle w:val="Heading1"/>
      </w:pPr>
      <w:r>
        <w:t>Purpose</w:t>
      </w:r>
    </w:p>
    <w:p>
      <w:r>
        <w:t>Review ethics, equity, privacy, cybersecurity, safety, continuity, trust, legal, and economic risks as one institutional system.</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Domain</w:t>
            </w:r>
          </w:p>
        </w:tc>
        <w:tc>
          <w:tcPr>
            <w:tcW w:type="dxa" w:w="2520"/>
            <w:shd w:fill="7A2334"/>
          </w:tcPr>
          <w:p>
            <w:r>
              <w:rPr>
                <w:b/>
                <w:color w:val="FFFFFF"/>
                <w:sz w:val="18"/>
              </w:rPr>
              <w:t>Question and evidence</w:t>
            </w:r>
          </w:p>
        </w:tc>
        <w:tc>
          <w:tcPr>
            <w:tcW w:type="dxa" w:w="2520"/>
            <w:shd w:fill="7A2334"/>
          </w:tcPr>
          <w:p>
            <w:r>
              <w:rPr>
                <w:b/>
                <w:color w:val="FFFFFF"/>
                <w:sz w:val="18"/>
              </w:rPr>
              <w:t>Status and residual risk</w:t>
            </w:r>
          </w:p>
        </w:tc>
        <w:tc>
          <w:tcPr>
            <w:tcW w:type="dxa" w:w="2520"/>
            <w:shd w:fill="7A2334"/>
          </w:tcPr>
          <w:p>
            <w:r>
              <w:rPr>
                <w:b/>
                <w:color w:val="FFFFFF"/>
                <w:sz w:val="18"/>
              </w:rPr>
              <w:t>Safeguard, owner, action, and review</w:t>
            </w:r>
          </w:p>
        </w:tc>
      </w:tr>
      <w:tr>
        <w:tc>
          <w:tcPr>
            <w:tcW w:type="dxa" w:w="2520"/>
            <w:vAlign w:val="top"/>
            <w:shd w:fill="F2E8EB"/>
          </w:tcPr>
          <w:p>
            <w:r>
              <w:rPr>
                <w:sz w:val="17"/>
              </w:rPr>
              <w:t>Autonomy and contestability</w:t>
            </w:r>
          </w:p>
        </w:tc>
        <w:tc>
          <w:tcPr>
            <w:tcW w:type="dxa" w:w="2520"/>
            <w:vAlign w:val="top"/>
          </w:tcPr>
          <w:p>
            <w:r>
              <w:rPr>
                <w:sz w:val="17"/>
              </w:rPr>
              <w:t>Are people informed appropriately, able to question consequential use, and offered a human route where required?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Safety and effectiveness</w:t>
            </w:r>
          </w:p>
        </w:tc>
        <w:tc>
          <w:tcPr>
            <w:tcW w:type="dxa" w:w="2520"/>
            <w:vAlign w:val="top"/>
          </w:tcPr>
          <w:p>
            <w:r>
              <w:rPr>
                <w:sz w:val="17"/>
              </w:rPr>
              <w:t>Are intended use, limitations, local performance, workflow controls, and fallback acceptable?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Equity and inclusion</w:t>
            </w:r>
          </w:p>
        </w:tc>
        <w:tc>
          <w:tcPr>
            <w:tcW w:type="dxa" w:w="2520"/>
            <w:vAlign w:val="top"/>
          </w:tcPr>
          <w:p>
            <w:r>
              <w:rPr>
                <w:sz w:val="17"/>
              </w:rPr>
              <w:t>Are data, performance, access, outcomes, and burdens assessed across relevant groups?</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Privacy and lawful data use</w:t>
            </w:r>
          </w:p>
        </w:tc>
        <w:tc>
          <w:tcPr>
            <w:tcW w:type="dxa" w:w="2520"/>
            <w:vAlign w:val="top"/>
          </w:tcPr>
          <w:p>
            <w:r>
              <w:rPr>
                <w:sz w:val="17"/>
              </w:rPr>
              <w:t>Are purpose, necessity, minimization, authority, retention, access, and secondary use governed?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Cybersecurity and resilience</w:t>
            </w:r>
          </w:p>
        </w:tc>
        <w:tc>
          <w:tcPr>
            <w:tcW w:type="dxa" w:w="2520"/>
            <w:vAlign w:val="top"/>
          </w:tcPr>
          <w:p>
            <w:r>
              <w:rPr>
                <w:sz w:val="17"/>
              </w:rPr>
              <w:t>Are threat, supplier, integration, logging, incident, downtime, recovery, and continuity controls adequate?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Transparency and trust</w:t>
            </w:r>
          </w:p>
        </w:tc>
        <w:tc>
          <w:tcPr>
            <w:tcW w:type="dxa" w:w="2520"/>
            <w:vAlign w:val="top"/>
          </w:tcPr>
          <w:p>
            <w:r>
              <w:rPr>
                <w:sz w:val="17"/>
              </w:rPr>
              <w:t>Are evidence, uncertainty, limitations, responsibilities, incidents, and communication credible and accessible?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Accountability and oversight</w:t>
            </w:r>
          </w:p>
        </w:tc>
        <w:tc>
          <w:tcPr>
            <w:tcW w:type="dxa" w:w="2520"/>
            <w:vAlign w:val="top"/>
          </w:tcPr>
          <w:p>
            <w:r>
              <w:rPr>
                <w:sz w:val="17"/>
              </w:rPr>
              <w:t>Are decision rights, review workload, escalation, pause, update, restart, renewal, and retirement authority explicit?</w:t>
            </w:r>
          </w:p>
        </w:tc>
        <w:tc>
          <w:tcPr>
            <w:tcW w:type="dxa" w:w="2520"/>
            <w:vAlign w:val="top"/>
          </w:tcPr>
          <w:p>
            <w:r>
              <w:rPr>
                <w:sz w:val="17"/>
              </w:rPr>
            </w:r>
          </w:p>
        </w:tc>
        <w:tc>
          <w:tcPr>
            <w:tcW w:type="dxa" w:w="252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Domain</w:t>
            </w:r>
          </w:p>
        </w:tc>
        <w:tc>
          <w:tcPr>
            <w:tcW w:type="dxa" w:w="2520"/>
            <w:shd w:fill="52565A"/>
          </w:tcPr>
          <w:p>
            <w:r>
              <w:rPr>
                <w:b/>
                <w:color w:val="FFFFFF"/>
                <w:sz w:val="18"/>
              </w:rPr>
              <w:t>Question and evidence</w:t>
            </w:r>
          </w:p>
        </w:tc>
        <w:tc>
          <w:tcPr>
            <w:tcW w:type="dxa" w:w="2520"/>
            <w:shd w:fill="52565A"/>
          </w:tcPr>
          <w:p>
            <w:r>
              <w:rPr>
                <w:b/>
                <w:color w:val="FFFFFF"/>
                <w:sz w:val="18"/>
              </w:rPr>
              <w:t>Status and residual risk</w:t>
            </w:r>
          </w:p>
        </w:tc>
        <w:tc>
          <w:tcPr>
            <w:tcW w:type="dxa" w:w="2520"/>
            <w:shd w:fill="52565A"/>
          </w:tcPr>
          <w:p>
            <w:r>
              <w:rPr>
                <w:b/>
                <w:color w:val="FFFFFF"/>
                <w:sz w:val="18"/>
              </w:rPr>
              <w:t>Safeguard, owner, action, and review</w:t>
            </w:r>
          </w:p>
        </w:tc>
      </w:tr>
      <w:tr>
        <w:tc>
          <w:tcPr>
            <w:tcW w:type="dxa" w:w="2520"/>
            <w:vAlign w:val="top"/>
            <w:shd w:fill="EFEFEF"/>
          </w:tcPr>
          <w:p>
            <w:r>
              <w:rPr>
                <w:sz w:val="17"/>
              </w:rPr>
              <w:t>Autonomy and contestability</w:t>
            </w:r>
          </w:p>
        </w:tc>
        <w:tc>
          <w:tcPr>
            <w:tcW w:type="dxa" w:w="2520"/>
            <w:vAlign w:val="top"/>
          </w:tcPr>
          <w:p>
            <w:r>
              <w:rPr>
                <w:sz w:val="17"/>
              </w:rPr>
              <w:t>Are people informed appropriately, able to question consequential use, and offered a human route where required?</w:t>
            </w:r>
          </w:p>
        </w:tc>
        <w:tc>
          <w:tcPr>
            <w:tcW w:type="dxa" w:w="2520"/>
            <w:vAlign w:val="top"/>
          </w:tcPr>
          <w:p>
            <w:r>
              <w:rPr>
                <w:sz w:val="17"/>
              </w:rPr>
              <w:t>Conditionally ready</w:t>
            </w:r>
          </w:p>
        </w:tc>
        <w:tc>
          <w:tcPr>
            <w:tcW w:type="dxa" w:w="2520"/>
            <w:vAlign w:val="top"/>
          </w:tcPr>
          <w:p>
            <w:r>
              <w:rPr>
                <w:sz w:val="17"/>
              </w:rPr>
              <w:t>Clinical service lead</w:t>
            </w:r>
          </w:p>
        </w:tc>
      </w:tr>
      <w:tr>
        <w:tc>
          <w:tcPr>
            <w:tcW w:type="dxa" w:w="2520"/>
            <w:vAlign w:val="top"/>
            <w:shd w:fill="EFEFEF"/>
          </w:tcPr>
          <w:p>
            <w:r>
              <w:rPr>
                <w:sz w:val="17"/>
              </w:rPr>
              <w:t>Safety and effectiveness</w:t>
            </w:r>
          </w:p>
        </w:tc>
        <w:tc>
          <w:tcPr>
            <w:tcW w:type="dxa" w:w="2520"/>
            <w:vAlign w:val="top"/>
          </w:tcPr>
          <w:p>
            <w:r>
              <w:rPr>
                <w:sz w:val="17"/>
              </w:rPr>
              <w:t>Are intended use, limitations, local performance, workflow controls, and fallback acceptable?</w:t>
            </w:r>
          </w:p>
        </w:tc>
        <w:tc>
          <w:tcPr>
            <w:tcW w:type="dxa" w:w="2520"/>
            <w:vAlign w:val="top"/>
          </w:tcPr>
          <w:p>
            <w:r>
              <w:rPr>
                <w:sz w:val="17"/>
              </w:rPr>
              <w:t>Conditionally ready</w:t>
            </w:r>
          </w:p>
        </w:tc>
        <w:tc>
          <w:tcPr>
            <w:tcW w:type="dxa" w:w="2520"/>
            <w:vAlign w:val="top"/>
          </w:tcPr>
          <w:p>
            <w:r>
              <w:rPr>
                <w:sz w:val="17"/>
              </w:rPr>
              <w:t>Quality lead</w:t>
            </w:r>
          </w:p>
        </w:tc>
      </w:tr>
      <w:tr>
        <w:tc>
          <w:tcPr>
            <w:tcW w:type="dxa" w:w="2520"/>
            <w:vAlign w:val="top"/>
            <w:shd w:fill="EFEFEF"/>
          </w:tcPr>
          <w:p>
            <w:r>
              <w:rPr>
                <w:sz w:val="17"/>
              </w:rPr>
              <w:t>Equity and inclusion</w:t>
            </w:r>
          </w:p>
        </w:tc>
        <w:tc>
          <w:tcPr>
            <w:tcW w:type="dxa" w:w="2520"/>
            <w:vAlign w:val="top"/>
          </w:tcPr>
          <w:p>
            <w:r>
              <w:rPr>
                <w:sz w:val="17"/>
              </w:rPr>
              <w:t>Are data, performance, access, outcomes, and burdens assessed across relevant groups?</w:t>
            </w:r>
          </w:p>
        </w:tc>
        <w:tc>
          <w:tcPr>
            <w:tcW w:type="dxa" w:w="2520"/>
            <w:vAlign w:val="top"/>
          </w:tcPr>
          <w:p>
            <w:r>
              <w:rPr>
                <w:sz w:val="17"/>
              </w:rPr>
              <w:t>Conditionally ready</w:t>
            </w:r>
          </w:p>
        </w:tc>
        <w:tc>
          <w:tcPr>
            <w:tcW w:type="dxa" w:w="2520"/>
            <w:vAlign w:val="top"/>
          </w:tcPr>
          <w:p>
            <w:r>
              <w:rPr>
                <w:sz w:val="17"/>
              </w:rPr>
              <w:t>Data steward</w:t>
            </w:r>
          </w:p>
        </w:tc>
      </w:tr>
      <w:tr>
        <w:tc>
          <w:tcPr>
            <w:tcW w:type="dxa" w:w="2520"/>
            <w:vAlign w:val="top"/>
            <w:shd w:fill="EFEFEF"/>
          </w:tcPr>
          <w:p>
            <w:r>
              <w:rPr>
                <w:sz w:val="17"/>
              </w:rPr>
              <w:t>Privacy and lawful data use</w:t>
            </w:r>
          </w:p>
        </w:tc>
        <w:tc>
          <w:tcPr>
            <w:tcW w:type="dxa" w:w="2520"/>
            <w:vAlign w:val="top"/>
          </w:tcPr>
          <w:p>
            <w:r>
              <w:rPr>
                <w:sz w:val="17"/>
              </w:rPr>
              <w:t>Are purpose, necessity, minimization, authority, retention, access, and secondary use governed?</w:t>
            </w:r>
          </w:p>
        </w:tc>
        <w:tc>
          <w:tcPr>
            <w:tcW w:type="dxa" w:w="2520"/>
            <w:vAlign w:val="top"/>
          </w:tcPr>
          <w:p>
            <w:r>
              <w:rPr>
                <w:sz w:val="17"/>
              </w:rPr>
              <w:t>Conditionally ready</w:t>
            </w:r>
          </w:p>
        </w:tc>
        <w:tc>
          <w:tcPr>
            <w:tcW w:type="dxa" w:w="2520"/>
            <w:vAlign w:val="top"/>
          </w:tcPr>
          <w:p>
            <w:r>
              <w:rPr>
                <w:sz w:val="17"/>
              </w:rPr>
              <w:t>Health economist</w:t>
            </w:r>
          </w:p>
        </w:tc>
      </w:tr>
      <w:tr>
        <w:tc>
          <w:tcPr>
            <w:tcW w:type="dxa" w:w="2520"/>
            <w:vAlign w:val="top"/>
            <w:shd w:fill="EFEFEF"/>
          </w:tcPr>
          <w:p>
            <w:r>
              <w:rPr>
                <w:sz w:val="17"/>
              </w:rPr>
              <w:t>Cybersecurity and resilience</w:t>
            </w:r>
          </w:p>
        </w:tc>
        <w:tc>
          <w:tcPr>
            <w:tcW w:type="dxa" w:w="2520"/>
            <w:vAlign w:val="top"/>
          </w:tcPr>
          <w:p>
            <w:r>
              <w:rPr>
                <w:sz w:val="17"/>
              </w:rPr>
              <w:t>Are threat, supplier, integration, logging, incident, downtime, recovery, and continuity controls adequate?</w:t>
            </w:r>
          </w:p>
        </w:tc>
        <w:tc>
          <w:tcPr>
            <w:tcW w:type="dxa" w:w="2520"/>
            <w:vAlign w:val="top"/>
          </w:tcPr>
          <w:p>
            <w:r>
              <w:rPr>
                <w:sz w:val="17"/>
              </w:rPr>
              <w:t>Conditionally ready</w:t>
            </w:r>
          </w:p>
        </w:tc>
        <w:tc>
          <w:tcPr>
            <w:tcW w:type="dxa" w:w="2520"/>
            <w:vAlign w:val="top"/>
          </w:tcPr>
          <w:p>
            <w:r>
              <w:rPr>
                <w:sz w:val="17"/>
              </w:rPr>
              <w:t>Procurement lead</w:t>
            </w:r>
          </w:p>
        </w:tc>
      </w:tr>
      <w:tr>
        <w:tc>
          <w:tcPr>
            <w:tcW w:type="dxa" w:w="2520"/>
            <w:vAlign w:val="top"/>
            <w:shd w:fill="EFEFEF"/>
          </w:tcPr>
          <w:p>
            <w:r>
              <w:rPr>
                <w:sz w:val="17"/>
              </w:rPr>
              <w:t>Transparency and trust</w:t>
            </w:r>
          </w:p>
        </w:tc>
        <w:tc>
          <w:tcPr>
            <w:tcW w:type="dxa" w:w="2520"/>
            <w:vAlign w:val="top"/>
          </w:tcPr>
          <w:p>
            <w:r>
              <w:rPr>
                <w:sz w:val="17"/>
              </w:rPr>
              <w:t>Are evidence, uncertainty, limitations, responsibilities, incidents, and communication credible and accessible?</w:t>
            </w:r>
          </w:p>
        </w:tc>
        <w:tc>
          <w:tcPr>
            <w:tcW w:type="dxa" w:w="2520"/>
            <w:vAlign w:val="top"/>
          </w:tcPr>
          <w:p>
            <w:r>
              <w:rPr>
                <w:sz w:val="17"/>
              </w:rPr>
              <w:t>Conditionally ready</w:t>
            </w:r>
          </w:p>
        </w:tc>
        <w:tc>
          <w:tcPr>
            <w:tcW w:type="dxa" w:w="2520"/>
            <w:vAlign w:val="top"/>
          </w:tcPr>
          <w:p>
            <w:r>
              <w:rPr>
                <w:sz w:val="17"/>
              </w:rPr>
              <w:t>Clinical service lead</w:t>
            </w:r>
          </w:p>
        </w:tc>
      </w:tr>
      <w:tr>
        <w:tc>
          <w:tcPr>
            <w:tcW w:type="dxa" w:w="2520"/>
            <w:vAlign w:val="top"/>
            <w:shd w:fill="EFEFEF"/>
          </w:tcPr>
          <w:p>
            <w:r>
              <w:rPr>
                <w:sz w:val="17"/>
              </w:rPr>
              <w:t>Accountability and oversight</w:t>
            </w:r>
          </w:p>
        </w:tc>
        <w:tc>
          <w:tcPr>
            <w:tcW w:type="dxa" w:w="2520"/>
            <w:vAlign w:val="top"/>
          </w:tcPr>
          <w:p>
            <w:r>
              <w:rPr>
                <w:sz w:val="17"/>
              </w:rPr>
              <w:t>Are decision rights, review workload, escalation, pause, update, restart, renewal, and retirement authority explicit?</w:t>
            </w:r>
          </w:p>
        </w:tc>
        <w:tc>
          <w:tcPr>
            <w:tcW w:type="dxa" w:w="2520"/>
            <w:vAlign w:val="top"/>
          </w:tcPr>
          <w:p>
            <w:r>
              <w:rPr>
                <w:sz w:val="17"/>
              </w:rPr>
              <w:t>Conditionally ready</w:t>
            </w:r>
          </w:p>
        </w:tc>
        <w:tc>
          <w:tcPr>
            <w:tcW w:type="dxa" w:w="2520"/>
            <w:vAlign w:val="top"/>
          </w:tcPr>
          <w:p>
            <w:r>
              <w:rPr>
                <w:sz w:val="17"/>
              </w:rPr>
              <w:t>Quality lead</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AIHE-C03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