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6"/>
        </w:rPr>
        <w:t>ARTIFICIAL INTELLIGENCE AND HEALTHCARE ECONOMICS</w:t>
      </w:r>
    </w:p>
    <w:p>
      <w:pPr>
        <w:jc w:val="center"/>
      </w:pPr>
      <w:r>
        <w:rPr>
          <w:b/>
          <w:color w:val="17365D"/>
          <w:sz w:val="48"/>
        </w:rPr>
        <w:t>Digital Resource Companion</w:t>
      </w:r>
    </w:p>
    <w:p>
      <w:pPr>
        <w:jc w:val="center"/>
      </w:pPr>
      <w:r>
        <w:rPr>
          <w:i/>
          <w:sz w:val="30"/>
        </w:rPr>
        <w:t>Start Here - 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Release date</w:t>
            </w:r>
          </w:p>
        </w:tc>
        <w:tc>
          <w:tcPr>
            <w:tcW w:type="dxa" w:w="4968"/>
          </w:tcPr>
          <w:p>
            <w:r>
              <w:t>2 September 2026</w:t>
            </w:r>
          </w:p>
        </w:tc>
      </w:tr>
      <w:tr>
        <w:tc>
          <w:tcPr>
            <w:tcW w:type="dxa" w:w="4968"/>
            <w:shd w:fill="D9EAF7"/>
          </w:tcPr>
          <w:p>
            <w:r>
              <w:t>Book alignment</w:t>
            </w:r>
          </w:p>
        </w:tc>
        <w:tc>
          <w:tcPr>
            <w:tcW w:type="dxa" w:w="4968"/>
          </w:tcPr>
          <w:p>
            <w:r>
              <w:t>Revised 412-page textbook</w:t>
            </w:r>
          </w:p>
        </w:tc>
      </w:tr>
      <w:tr>
        <w:tc>
          <w:tcPr>
            <w:tcW w:type="dxa" w:w="4968"/>
            <w:shd w:fill="D9EAF7"/>
          </w:tcPr>
          <w:p>
            <w:r>
              <w:t>Chapters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  <w:shd w:fill="D9EAF7"/>
          </w:tcPr>
          <w:p>
            <w:r>
              <w:t>Principal figures</w:t>
            </w:r>
          </w:p>
        </w:tc>
        <w:tc>
          <w:tcPr>
            <w:tcW w:type="dxa" w:w="4968"/>
          </w:tcPr>
          <w:p>
            <w:r>
              <w:t>31</w:t>
            </w:r>
          </w:p>
        </w:tc>
      </w:tr>
      <w:tr>
        <w:tc>
          <w:tcPr>
            <w:tcW w:type="dxa" w:w="4968"/>
            <w:shd w:fill="D9EAF7"/>
          </w:tcPr>
          <w:p>
            <w:r>
              <w:t>Principal tables</w:t>
            </w:r>
          </w:p>
        </w:tc>
        <w:tc>
          <w:tcPr>
            <w:tcW w:type="dxa" w:w="4968"/>
          </w:tcPr>
          <w:p>
            <w:r>
              <w:t>46</w:t>
            </w:r>
          </w:p>
        </w:tc>
      </w:tr>
      <w:tr>
        <w:tc>
          <w:tcPr>
            <w:tcW w:type="dxa" w:w="4968"/>
            <w:shd w:fill="D9EAF7"/>
          </w:tcPr>
          <w:p>
            <w:r>
              <w:t>Core institutional records</w:t>
            </w:r>
          </w:p>
        </w:tc>
        <w:tc>
          <w:tcPr>
            <w:tcW w:type="dxa" w:w="4968"/>
          </w:tcPr>
          <w:p>
            <w:r>
              <w:t>24</w:t>
            </w:r>
          </w:p>
        </w:tc>
      </w:tr>
    </w:tbl>
    <w:p>
      <w:pPr>
        <w:pStyle w:val="Heading1"/>
      </w:pPr>
      <w:r>
        <w:t>Choose the appropriate entry point</w:t>
      </w:r>
    </w:p>
    <w:p>
      <w:pPr>
        <w:pStyle w:val="ListBullet"/>
      </w:pPr>
      <w:r>
        <w:rPr>
          <w:b/>
        </w:rPr>
        <w:t xml:space="preserve">Website: </w:t>
      </w:r>
      <w:r>
        <w:t>Open docs/index.html in the canonical edition or docs/index.html in the Reader and Practitioner edition.</w:t>
      </w:r>
    </w:p>
    <w:p>
      <w:pPr>
        <w:pStyle w:val="ListBullet"/>
      </w:pPr>
      <w:r>
        <w:rPr>
          <w:b/>
        </w:rPr>
        <w:t xml:space="preserve">Core tools: </w:t>
      </w:r>
      <w:r>
        <w:t>Open bundles/tools/AIHE_Core_Tools_V1.0.zip or bundles/AIHE_Core_Tools_V1.0.zip for the essential forms, workbook, cases, and selected computational tools.</w:t>
      </w:r>
    </w:p>
    <w:p>
      <w:pPr>
        <w:pStyle w:val="ListBullet"/>
      </w:pPr>
      <w:r>
        <w:rPr>
          <w:b/>
        </w:rPr>
        <w:t xml:space="preserve">Reader and Practitioner edition: </w:t>
      </w:r>
      <w:r>
        <w:t>Use the streamlined distribution for guided interaction, practical forms, workbooks, worked examples, and selected analytics.</w:t>
      </w:r>
    </w:p>
    <w:p>
      <w:pPr>
        <w:pStyle w:val="ListBullet"/>
      </w:pPr>
      <w:r>
        <w:rPr>
          <w:b/>
        </w:rPr>
        <w:t xml:space="preserve">Canonical source edition: </w:t>
      </w:r>
      <w:r>
        <w:t>Use the full repository for editable source records, machine-readable data, computational resources, migration crosswalks, and pub assets.</w:t>
      </w:r>
    </w:p>
    <w:p>
      <w:pPr>
        <w:pStyle w:val="Heading1"/>
      </w:pPr>
      <w:r>
        <w:t>Stable references</w:t>
      </w:r>
    </w:p>
    <w:p>
      <w:r>
        <w:t>Cite chapters, sections, figures, tables, cases, and resource identifiers rather than printed page numbers. Record the resource version, release date, access date, evidence cut-off, local modifications, intervention version, accountable owner, and decision authority when a resource is used in institutional or scholarly work.</w:t>
      </w:r>
    </w:p>
    <w:p>
      <w:pPr>
        <w:pStyle w:val="Heading1"/>
      </w:pPr>
      <w:r>
        <w:t>Use conditions</w:t>
      </w:r>
    </w:p>
    <w:p>
      <w:r>
        <w:t>Worked examples and demonstration data are synthetic unless a documented source states otherwise. Replace illustrative assumptions with authorized local evidence. A completed form, workbook, model, or favourable numerical result does not establish safety, legality, effectiveness, equity, affordability, readiness, or authorization. No aggregate result overrides a mandatory safeguard.</w:t>
      </w:r>
    </w:p>
    <w:p>
      <w:pPr>
        <w:pStyle w:val="Heading1"/>
      </w:pPr>
      <w:r>
        <w:t>Major V1.0 changes</w:t>
      </w:r>
    </w:p>
    <w:p>
      <w:pPr>
        <w:pStyle w:val="ListBullet"/>
      </w:pPr>
      <w:r>
        <w:t>current figure and table catalogues now contain 31 principal figures and 46 principal tables;</w:t>
      </w:r>
    </w:p>
    <w:p>
      <w:pPr>
        <w:pStyle w:val="ListBullet"/>
      </w:pPr>
      <w:r>
        <w:t>Chapter 12 resources now centre decision identity, decision provenance, institutional states, lifecycle triggers, material change, reauthorization, renewal, replacement, and retirement;</w:t>
      </w:r>
    </w:p>
    <w:p>
      <w:pPr>
        <w:pStyle w:val="ListBullet"/>
      </w:pPr>
      <w:r>
        <w:t>the principal Chapter 15 case is now an AI-assisted remote diagnostic pathway;</w:t>
      </w:r>
    </w:p>
    <w:p>
      <w:pPr>
        <w:pStyle w:val="ListBullet"/>
      </w:pPr>
      <w:r>
        <w:t>priority financial, value-of-information, procurement, quality, asset-life, circularity, rebound, and burden-transfer tools have been revised;</w:t>
      </w:r>
    </w:p>
    <w:p>
      <w:pPr>
        <w:pStyle w:val="ListBullet"/>
      </w:pPr>
      <w:r>
        <w:t>the website and core-tools bundle have been regenerated from current source records.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Resource Companion V1.0 - Start Here</dc:title>
  <dc:subject/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