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AIHE-A01 - Decision and Use-Case Specification</w:t>
      </w:r>
    </w:p>
    <w:p>
      <w:r>
        <w:rPr>
          <w:b/>
        </w:rPr>
        <w:t>Chapter 1: AI as a Health-System Intervention</w:t>
      </w:r>
    </w:p>
    <w:p>
      <w:r>
        <w:t>Define the service problem, full intervention, realistic comparators, outcomes, value mechanism, decision rule, and review cycle.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AIHE-A01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Decision definition</w:t>
            </w:r>
          </w:p>
        </w:tc>
        <w:tc>
          <w:tcPr>
            <w:tcW w:type="dxa" w:w="2556"/>
            <w:vAlign w:val="top"/>
          </w:tcPr>
          <w:p>
            <w:r>
              <w:t>Service problem and measurable baseline</w:t>
            </w:r>
          </w:p>
        </w:tc>
        <w:tc>
          <w:tcPr>
            <w:tcW w:type="dxa" w:w="2556"/>
            <w:vAlign w:val="top"/>
          </w:tcPr>
          <w:p>
            <w:r>
              <w:t>State the problem before selecting a product.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Decision definition</w:t>
            </w:r>
          </w:p>
        </w:tc>
        <w:tc>
          <w:tcPr>
            <w:tcW w:type="dxa" w:w="2556"/>
            <w:vAlign w:val="top"/>
          </w:tcPr>
          <w:p>
            <w:r>
              <w:t>Target population, setting, and intended users</w:t>
            </w:r>
          </w:p>
        </w:tc>
        <w:tc>
          <w:tcPr>
            <w:tcW w:type="dxa" w:w="2556"/>
            <w:vAlign w:val="top"/>
          </w:tcPr>
          <w:p>
            <w:r>
              <w:t>Define scope and exclusions.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Comparator</w:t>
            </w:r>
          </w:p>
        </w:tc>
        <w:tc>
          <w:tcPr>
            <w:tcW w:type="dxa" w:w="2556"/>
            <w:vAlign w:val="top"/>
          </w:tcPr>
          <w:p>
            <w:r>
              <w:t>Best realistic AI and non-AI alternatives</w:t>
            </w:r>
          </w:p>
        </w:tc>
        <w:tc>
          <w:tcPr>
            <w:tcW w:type="dxa" w:w="2556"/>
            <w:vAlign w:val="top"/>
          </w:tcPr>
          <w:p>
            <w:r>
              <w:t>Avoid an undefined or inefficient status quo.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Complete intervention</w:t>
            </w:r>
          </w:p>
        </w:tc>
        <w:tc>
          <w:tcPr>
            <w:tcW w:type="dxa" w:w="2556"/>
            <w:vAlign w:val="top"/>
          </w:tcPr>
          <w:p>
            <w:r>
              <w:t>Data, interfaces, model, thresholds, human review, workflow, capacity, governance, support, and exit</w:t>
            </w:r>
          </w:p>
        </w:tc>
        <w:tc>
          <w:tcPr>
            <w:tcW w:type="dxa" w:w="2556"/>
            <w:vAlign w:val="top"/>
          </w:tcPr>
          <w:p>
            <w:r>
              <w:t>Describe the whole intervention bundle.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Value pathway</w:t>
            </w:r>
          </w:p>
        </w:tc>
        <w:tc>
          <w:tcPr>
            <w:tcW w:type="dxa" w:w="2556"/>
            <w:vAlign w:val="top"/>
          </w:tcPr>
          <w:p>
            <w:r>
              <w:t>Mechanisms linking output to decision, action, outcome, resource consequence, and public value</w:t>
            </w:r>
          </w:p>
        </w:tc>
        <w:tc>
          <w:tcPr>
            <w:tcW w:type="dxa" w:w="2556"/>
            <w:vAlign w:val="top"/>
          </w:tcPr>
          <w:p>
            <w:r>
              <w:t>Separate technical potential from realized value.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Economics</w:t>
            </w:r>
          </w:p>
        </w:tc>
        <w:tc>
          <w:tcPr>
            <w:tcW w:type="dxa" w:w="2556"/>
            <w:vAlign w:val="top"/>
          </w:tcPr>
          <w:p>
            <w:r>
              <w:t>Lifecycle cost, budget incidence, opportunity cost, and distribution</w:t>
            </w:r>
          </w:p>
        </w:tc>
        <w:tc>
          <w:tcPr>
            <w:tcW w:type="dxa" w:w="2556"/>
            <w:vAlign w:val="top"/>
          </w:tcPr>
          <w:p>
            <w:r>
              <w:t>Identify who pays and who benefits.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Evidence</w:t>
            </w:r>
          </w:p>
        </w:tc>
        <w:tc>
          <w:tcPr>
            <w:tcW w:type="dxa" w:w="2556"/>
            <w:vAlign w:val="top"/>
          </w:tcPr>
          <w:p>
            <w:r>
              <w:t>Evidence adequate for intended use and local context</w:t>
            </w:r>
          </w:p>
        </w:tc>
        <w:tc>
          <w:tcPr>
            <w:tcW w:type="dxa" w:w="2556"/>
            <w:vAlign w:val="top"/>
          </w:tcPr>
          <w:p>
            <w:r>
              <w:t>Distinguish model evidence from intervention effects.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Uncertainty and flexibility</w:t>
            </w:r>
          </w:p>
        </w:tc>
        <w:tc>
          <w:tcPr>
            <w:tcW w:type="dxa" w:w="2556"/>
            <w:vAlign w:val="top"/>
          </w:tcPr>
          <w:p>
            <w:r>
              <w:t>Decision-critical uncertainty, threshold, option value, and reversible commitment</w:t>
            </w:r>
          </w:p>
        </w:tc>
        <w:tc>
          <w:tcPr>
            <w:tcW w:type="dxa" w:w="2556"/>
            <w:vAlign w:val="top"/>
          </w:tcPr>
          <w:p>
            <w:r>
              <w:t>Specify what can be learned before scale.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Decision conditions</w:t>
            </w:r>
          </w:p>
        </w:tc>
        <w:tc>
          <w:tcPr>
            <w:tcW w:type="dxa" w:w="2556"/>
            <w:vAlign w:val="top"/>
          </w:tcPr>
          <w:p>
            <w:r>
              <w:t>Proceed, redesign, restrict, pilot, defer, replace, or retire criteria</w:t>
            </w:r>
          </w:p>
        </w:tc>
        <w:tc>
          <w:tcPr>
            <w:tcW w:type="dxa" w:w="2556"/>
            <w:vAlign w:val="top"/>
          </w:tcPr>
          <w:p>
            <w:r>
              <w:t>State conditions and stopping rules.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AIHE-A01 - Decision and Use-Case Specification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