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Stakeholders, Decision Rights, and Participation</w:t>
      </w:r>
    </w:p>
    <w:p>
      <w:pPr>
        <w:jc w:val="centre"/>
      </w:pPr>
      <w:r>
        <w:rPr>
          <w:b/>
          <w:color w:val="7A2334"/>
        </w:rPr>
        <w:t>AIHE-A02</w:t>
      </w:r>
    </w:p>
    <w:p>
      <w:pPr>
        <w:spacing w:after="40"/>
      </w:pPr>
      <w:r>
        <w:rPr>
          <w:b/>
        </w:rPr>
        <w:t xml:space="preserve">Primary chapter: </w:t>
      </w:r>
      <w:r>
        <w:t>1 — AI as a Health-System Intervention</w:t>
      </w:r>
    </w:p>
    <w:p>
      <w:pPr>
        <w:spacing w:after="40"/>
      </w:pPr>
      <w:r>
        <w:rPr>
          <w:b/>
        </w:rPr>
        <w:t xml:space="preserve">Additional chapter alignment: </w:t>
      </w:r>
      <w:r>
        <w:t>1, 3, 10, 12</w:t>
      </w:r>
    </w:p>
    <w:p>
      <w:pPr>
        <w:spacing w:after="40"/>
      </w:pPr>
      <w:r>
        <w:rPr>
          <w:b/>
        </w:rPr>
        <w:t xml:space="preserve">Legacy aliases: </w:t>
      </w:r>
      <w:r>
        <w:t>AIHE-EX01</w:t>
      </w:r>
    </w:p>
    <w:p>
      <w:pPr>
        <w:spacing w:after="40"/>
      </w:pPr>
      <w:r>
        <w:rPr>
          <w:b/>
        </w:rPr>
        <w:t xml:space="preserve">Version: </w:t>
      </w:r>
      <w:r>
        <w:t>V1.0</w:t>
      </w:r>
    </w:p>
    <w:p>
      <w:pPr>
        <w:pStyle w:val="Heading1"/>
      </w:pPr>
      <w:r>
        <w:t>Purpose</w:t>
      </w:r>
    </w:p>
    <w:p>
      <w:r>
        <w:t>Identify affected parties, decision rights, participation duties, evidence contributions, and escalation authority.</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7A2334"/>
          </w:tcPr>
          <w:p>
            <w:r>
              <w:rPr>
                <w:b/>
                <w:color w:val="FFFFFF"/>
                <w:sz w:val="18"/>
              </w:rPr>
              <w:t>Role or group</w:t>
            </w:r>
          </w:p>
        </w:tc>
        <w:tc>
          <w:tcPr>
            <w:tcW w:type="dxa" w:w="2520"/>
            <w:shd w:fill="7A2334"/>
          </w:tcPr>
          <w:p>
            <w:r>
              <w:rPr>
                <w:b/>
                <w:color w:val="FFFFFF"/>
                <w:sz w:val="18"/>
              </w:rPr>
              <w:t>Interest or potential effect</w:t>
            </w:r>
          </w:p>
        </w:tc>
        <w:tc>
          <w:tcPr>
            <w:tcW w:type="dxa" w:w="2520"/>
            <w:shd w:fill="7A2334"/>
          </w:tcPr>
          <w:p>
            <w:r>
              <w:rPr>
                <w:b/>
                <w:color w:val="FFFFFF"/>
                <w:sz w:val="18"/>
              </w:rPr>
              <w:t>Decision duty</w:t>
            </w:r>
          </w:p>
        </w:tc>
        <w:tc>
          <w:tcPr>
            <w:tcW w:type="dxa" w:w="2520"/>
            <w:shd w:fill="7A2334"/>
          </w:tcPr>
          <w:p>
            <w:r>
              <w:rPr>
                <w:b/>
                <w:color w:val="FFFFFF"/>
                <w:sz w:val="18"/>
              </w:rPr>
              <w:t>Participation, evidence, or action required</w:t>
            </w:r>
          </w:p>
        </w:tc>
      </w:tr>
      <w:tr>
        <w:tc>
          <w:tcPr>
            <w:tcW w:type="dxa" w:w="2520"/>
            <w:vAlign w:val="top"/>
            <w:shd w:fill="F2E8EB"/>
          </w:tcPr>
          <w:p>
            <w:r>
              <w:rPr>
                <w:sz w:val="17"/>
              </w:rPr>
              <w:t>Board or executive sponsor</w:t>
            </w:r>
          </w:p>
        </w:tc>
        <w:tc>
          <w:tcPr>
            <w:tcW w:type="dxa" w:w="2520"/>
            <w:vAlign w:val="top"/>
          </w:tcPr>
          <w:p>
            <w:r>
              <w:rPr>
                <w:sz w:val="17"/>
              </w:rPr>
              <w:t>Strategy, public accountability, resources, and risk appetite</w:t>
            </w:r>
          </w:p>
        </w:tc>
        <w:tc>
          <w:tcPr>
            <w:tcW w:type="dxa" w:w="2520"/>
            <w:vAlign w:val="top"/>
          </w:tcPr>
          <w:p>
            <w:r>
              <w:rPr>
                <w:sz w:val="17"/>
              </w:rPr>
              <w:t>Approve material commitment and named accountability</w:t>
            </w:r>
          </w:p>
        </w:tc>
        <w:tc>
          <w:tcPr>
            <w:tcW w:type="dxa" w:w="2520"/>
            <w:vAlign w:val="top"/>
          </w:tcPr>
          <w:p>
            <w:r>
              <w:rPr>
                <w:sz w:val="17"/>
              </w:rPr>
            </w:r>
          </w:p>
        </w:tc>
      </w:tr>
      <w:tr>
        <w:tc>
          <w:tcPr>
            <w:tcW w:type="dxa" w:w="2520"/>
            <w:vAlign w:val="top"/>
            <w:shd w:fill="F2E8EB"/>
          </w:tcPr>
          <w:p>
            <w:r>
              <w:rPr>
                <w:sz w:val="17"/>
              </w:rPr>
              <w:t>Clinical and operational leads</w:t>
            </w:r>
          </w:p>
        </w:tc>
        <w:tc>
          <w:tcPr>
            <w:tcW w:type="dxa" w:w="2520"/>
            <w:vAlign w:val="top"/>
          </w:tcPr>
          <w:p>
            <w:r>
              <w:rPr>
                <w:sz w:val="17"/>
              </w:rPr>
              <w:t>Safety, workflow, professional practice, and service capacity</w:t>
            </w:r>
          </w:p>
        </w:tc>
        <w:tc>
          <w:tcPr>
            <w:tcW w:type="dxa" w:w="2520"/>
            <w:vAlign w:val="top"/>
          </w:tcPr>
          <w:p>
            <w:r>
              <w:rPr>
                <w:sz w:val="17"/>
              </w:rPr>
              <w:t>Specify intended use, action, fallback, and clinical acceptance</w:t>
            </w:r>
          </w:p>
        </w:tc>
        <w:tc>
          <w:tcPr>
            <w:tcW w:type="dxa" w:w="2520"/>
            <w:vAlign w:val="top"/>
          </w:tcPr>
          <w:p>
            <w:r>
              <w:rPr>
                <w:sz w:val="17"/>
              </w:rPr>
            </w:r>
          </w:p>
        </w:tc>
      </w:tr>
      <w:tr>
        <w:tc>
          <w:tcPr>
            <w:tcW w:type="dxa" w:w="2520"/>
            <w:vAlign w:val="top"/>
            <w:shd w:fill="F2E8EB"/>
          </w:tcPr>
          <w:p>
            <w:r>
              <w:rPr>
                <w:sz w:val="17"/>
              </w:rPr>
              <w:t>Quality and accreditation leads</w:t>
            </w:r>
          </w:p>
        </w:tc>
        <w:tc>
          <w:tcPr>
            <w:tcW w:type="dxa" w:w="2520"/>
            <w:vAlign w:val="top"/>
          </w:tcPr>
          <w:p>
            <w:r>
              <w:rPr>
                <w:sz w:val="17"/>
              </w:rPr>
              <w:t>Standards, controls, evidence, incidents, and improvement</w:t>
            </w:r>
          </w:p>
        </w:tc>
        <w:tc>
          <w:tcPr>
            <w:tcW w:type="dxa" w:w="2520"/>
            <w:vAlign w:val="top"/>
          </w:tcPr>
          <w:p>
            <w:r>
              <w:rPr>
                <w:sz w:val="17"/>
              </w:rPr>
              <w:t>Integrate the intervention into quality-management and accreditation processes</w:t>
            </w:r>
          </w:p>
        </w:tc>
        <w:tc>
          <w:tcPr>
            <w:tcW w:type="dxa" w:w="2520"/>
            <w:vAlign w:val="top"/>
          </w:tcPr>
          <w:p>
            <w:r>
              <w:rPr>
                <w:sz w:val="17"/>
              </w:rPr>
            </w:r>
          </w:p>
        </w:tc>
      </w:tr>
      <w:tr>
        <w:tc>
          <w:tcPr>
            <w:tcW w:type="dxa" w:w="2520"/>
            <w:vAlign w:val="top"/>
            <w:shd w:fill="F2E8EB"/>
          </w:tcPr>
          <w:p>
            <w:r>
              <w:rPr>
                <w:sz w:val="17"/>
              </w:rPr>
              <w:t>Health economics, finance, payer, or HTA</w:t>
            </w:r>
          </w:p>
        </w:tc>
        <w:tc>
          <w:tcPr>
            <w:tcW w:type="dxa" w:w="2520"/>
            <w:vAlign w:val="top"/>
          </w:tcPr>
          <w:p>
            <w:r>
              <w:rPr>
                <w:sz w:val="17"/>
              </w:rPr>
              <w:t>Cost, outcomes, affordability, opportunity cost, reimbursement, and value</w:t>
            </w:r>
          </w:p>
        </w:tc>
        <w:tc>
          <w:tcPr>
            <w:tcW w:type="dxa" w:w="2520"/>
            <w:vAlign w:val="top"/>
          </w:tcPr>
          <w:p>
            <w:r>
              <w:rPr>
                <w:sz w:val="17"/>
              </w:rPr>
              <w:t>Approve economic methods, assumptions, and budget consequences</w:t>
            </w:r>
          </w:p>
        </w:tc>
        <w:tc>
          <w:tcPr>
            <w:tcW w:type="dxa" w:w="2520"/>
            <w:vAlign w:val="top"/>
          </w:tcPr>
          <w:p>
            <w:r>
              <w:rPr>
                <w:sz w:val="17"/>
              </w:rPr>
            </w:r>
          </w:p>
        </w:tc>
      </w:tr>
      <w:tr>
        <w:tc>
          <w:tcPr>
            <w:tcW w:type="dxa" w:w="2520"/>
            <w:vAlign w:val="top"/>
            <w:shd w:fill="F2E8EB"/>
          </w:tcPr>
          <w:p>
            <w:r>
              <w:rPr>
                <w:sz w:val="17"/>
              </w:rPr>
              <w:t>Data, informatics, IT, and cybersecurity</w:t>
            </w:r>
          </w:p>
        </w:tc>
        <w:tc>
          <w:tcPr>
            <w:tcW w:type="dxa" w:w="2520"/>
            <w:vAlign w:val="top"/>
          </w:tcPr>
          <w:p>
            <w:r>
              <w:rPr>
                <w:sz w:val="17"/>
              </w:rPr>
              <w:t>Data fitness, interoperability, architecture, security, resilience, and monitoring</w:t>
            </w:r>
          </w:p>
        </w:tc>
        <w:tc>
          <w:tcPr>
            <w:tcW w:type="dxa" w:w="2520"/>
            <w:vAlign w:val="top"/>
          </w:tcPr>
          <w:p>
            <w:r>
              <w:rPr>
                <w:sz w:val="17"/>
              </w:rPr>
              <w:t>Verify technical readiness and continuing operability</w:t>
            </w:r>
          </w:p>
        </w:tc>
        <w:tc>
          <w:tcPr>
            <w:tcW w:type="dxa" w:w="2520"/>
            <w:vAlign w:val="top"/>
          </w:tcPr>
          <w:p>
            <w:r>
              <w:rPr>
                <w:sz w:val="17"/>
              </w:rPr>
            </w:r>
          </w:p>
        </w:tc>
      </w:tr>
      <w:tr>
        <w:tc>
          <w:tcPr>
            <w:tcW w:type="dxa" w:w="2520"/>
            <w:vAlign w:val="top"/>
            <w:shd w:fill="F2E8EB"/>
          </w:tcPr>
          <w:p>
            <w:r>
              <w:rPr>
                <w:sz w:val="17"/>
              </w:rPr>
              <w:t>Ethics, privacy, legal, and compliance</w:t>
            </w:r>
          </w:p>
        </w:tc>
        <w:tc>
          <w:tcPr>
            <w:tcW w:type="dxa" w:w="2520"/>
            <w:vAlign w:val="top"/>
          </w:tcPr>
          <w:p>
            <w:r>
              <w:rPr>
                <w:sz w:val="17"/>
              </w:rPr>
              <w:t>Rights, lawful use, fairness, contestability, and obligations</w:t>
            </w:r>
          </w:p>
        </w:tc>
        <w:tc>
          <w:tcPr>
            <w:tcW w:type="dxa" w:w="2520"/>
            <w:vAlign w:val="top"/>
          </w:tcPr>
          <w:p>
            <w:r>
              <w:rPr>
                <w:sz w:val="17"/>
              </w:rPr>
              <w:t>Define mandatory safeguards and unresolved legal or ethical conditions</w:t>
            </w:r>
          </w:p>
        </w:tc>
        <w:tc>
          <w:tcPr>
            <w:tcW w:type="dxa" w:w="2520"/>
            <w:vAlign w:val="top"/>
          </w:tcPr>
          <w:p>
            <w:r>
              <w:rPr>
                <w:sz w:val="17"/>
              </w:rPr>
            </w:r>
          </w:p>
        </w:tc>
      </w:tr>
      <w:tr>
        <w:tc>
          <w:tcPr>
            <w:tcW w:type="dxa" w:w="2520"/>
            <w:vAlign w:val="top"/>
            <w:shd w:fill="F2E8EB"/>
          </w:tcPr>
          <w:p>
            <w:r>
              <w:rPr>
                <w:sz w:val="17"/>
              </w:rPr>
              <w:t>Procurement and contract management</w:t>
            </w:r>
          </w:p>
        </w:tc>
        <w:tc>
          <w:tcPr>
            <w:tcW w:type="dxa" w:w="2520"/>
            <w:vAlign w:val="top"/>
          </w:tcPr>
          <w:p>
            <w:r>
              <w:rPr>
                <w:sz w:val="17"/>
              </w:rPr>
              <w:t>Evidence, price, service levels, updates, remedies, portability, and exit</w:t>
            </w:r>
          </w:p>
        </w:tc>
        <w:tc>
          <w:tcPr>
            <w:tcW w:type="dxa" w:w="2520"/>
            <w:vAlign w:val="top"/>
          </w:tcPr>
          <w:p>
            <w:r>
              <w:rPr>
                <w:sz w:val="17"/>
              </w:rPr>
              <w:t>Translate requirements into enforceable terms</w:t>
            </w:r>
          </w:p>
        </w:tc>
        <w:tc>
          <w:tcPr>
            <w:tcW w:type="dxa" w:w="2520"/>
            <w:vAlign w:val="top"/>
          </w:tcPr>
          <w:p>
            <w:r>
              <w:rPr>
                <w:sz w:val="17"/>
              </w:rPr>
            </w:r>
          </w:p>
        </w:tc>
      </w:tr>
      <w:tr>
        <w:tc>
          <w:tcPr>
            <w:tcW w:type="dxa" w:w="2520"/>
            <w:vAlign w:val="top"/>
            <w:shd w:fill="F2E8EB"/>
          </w:tcPr>
          <w:p>
            <w:r>
              <w:rPr>
                <w:sz w:val="17"/>
              </w:rPr>
              <w:t>Patients, public, and workforce representatives</w:t>
            </w:r>
          </w:p>
        </w:tc>
        <w:tc>
          <w:tcPr>
            <w:tcW w:type="dxa" w:w="2520"/>
            <w:vAlign w:val="top"/>
          </w:tcPr>
          <w:p>
            <w:r>
              <w:rPr>
                <w:sz w:val="17"/>
              </w:rPr>
              <w:t>Access, experience, acceptability, trust, burden, and group effects</w:t>
            </w:r>
          </w:p>
        </w:tc>
        <w:tc>
          <w:tcPr>
            <w:tcW w:type="dxa" w:w="2520"/>
            <w:vAlign w:val="top"/>
          </w:tcPr>
          <w:p>
            <w:r>
              <w:rPr>
                <w:sz w:val="17"/>
              </w:rPr>
              <w:t>Contribute priorities, communication requirements, and challenge</w:t>
            </w:r>
          </w:p>
        </w:tc>
        <w:tc>
          <w:tcPr>
            <w:tcW w:type="dxa" w:w="252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52565A"/>
          </w:tcPr>
          <w:p>
            <w:r>
              <w:rPr>
                <w:b/>
                <w:color w:val="FFFFFF"/>
                <w:sz w:val="18"/>
              </w:rPr>
              <w:t>Role or group</w:t>
            </w:r>
          </w:p>
        </w:tc>
        <w:tc>
          <w:tcPr>
            <w:tcW w:type="dxa" w:w="2520"/>
            <w:shd w:fill="52565A"/>
          </w:tcPr>
          <w:p>
            <w:r>
              <w:rPr>
                <w:b/>
                <w:color w:val="FFFFFF"/>
                <w:sz w:val="18"/>
              </w:rPr>
              <w:t>Interest or potential effect</w:t>
            </w:r>
          </w:p>
        </w:tc>
        <w:tc>
          <w:tcPr>
            <w:tcW w:type="dxa" w:w="2520"/>
            <w:shd w:fill="52565A"/>
          </w:tcPr>
          <w:p>
            <w:r>
              <w:rPr>
                <w:b/>
                <w:color w:val="FFFFFF"/>
                <w:sz w:val="18"/>
              </w:rPr>
              <w:t>Decision duty</w:t>
            </w:r>
          </w:p>
        </w:tc>
        <w:tc>
          <w:tcPr>
            <w:tcW w:type="dxa" w:w="2520"/>
            <w:shd w:fill="52565A"/>
          </w:tcPr>
          <w:p>
            <w:r>
              <w:rPr>
                <w:b/>
                <w:color w:val="FFFFFF"/>
                <w:sz w:val="18"/>
              </w:rPr>
              <w:t>Participation, evidence, or action required</w:t>
            </w:r>
          </w:p>
        </w:tc>
      </w:tr>
      <w:tr>
        <w:tc>
          <w:tcPr>
            <w:tcW w:type="dxa" w:w="2520"/>
            <w:vAlign w:val="top"/>
            <w:shd w:fill="EFEFEF"/>
          </w:tcPr>
          <w:p>
            <w:r>
              <w:rPr>
                <w:sz w:val="17"/>
              </w:rPr>
              <w:t>Board or executive sponsor</w:t>
            </w:r>
          </w:p>
        </w:tc>
        <w:tc>
          <w:tcPr>
            <w:tcW w:type="dxa" w:w="2520"/>
            <w:vAlign w:val="top"/>
          </w:tcPr>
          <w:p>
            <w:r>
              <w:rPr>
                <w:sz w:val="17"/>
              </w:rPr>
              <w:t>Strategy, public accountability, resources, and risk appetite</w:t>
            </w:r>
          </w:p>
        </w:tc>
        <w:tc>
          <w:tcPr>
            <w:tcW w:type="dxa" w:w="2520"/>
            <w:vAlign w:val="top"/>
          </w:tcPr>
          <w:p>
            <w:r>
              <w:rPr>
                <w:sz w:val="17"/>
              </w:rPr>
              <w:t>Approve material commitment and named accountability</w:t>
            </w:r>
          </w:p>
        </w:tc>
        <w:tc>
          <w:tcPr>
            <w:tcW w:type="dxa" w:w="2520"/>
            <w:vAlign w:val="top"/>
          </w:tcPr>
          <w:p>
            <w:r>
              <w:rPr>
                <w:sz w:val="17"/>
              </w:rPr>
              <w:t>Synthetic local baseline report; controlled dataset v1.2; evidence cut-off 2026-01-31.</w:t>
            </w:r>
          </w:p>
        </w:tc>
      </w:tr>
      <w:tr>
        <w:tc>
          <w:tcPr>
            <w:tcW w:type="dxa" w:w="2520"/>
            <w:vAlign w:val="top"/>
            <w:shd w:fill="EFEFEF"/>
          </w:tcPr>
          <w:p>
            <w:r>
              <w:rPr>
                <w:sz w:val="17"/>
              </w:rPr>
              <w:t>Clinical and operational leads</w:t>
            </w:r>
          </w:p>
        </w:tc>
        <w:tc>
          <w:tcPr>
            <w:tcW w:type="dxa" w:w="2520"/>
            <w:vAlign w:val="top"/>
          </w:tcPr>
          <w:p>
            <w:r>
              <w:rPr>
                <w:sz w:val="17"/>
              </w:rPr>
              <w:t>Safety, workflow, professional practice, and service capacity</w:t>
            </w:r>
          </w:p>
        </w:tc>
        <w:tc>
          <w:tcPr>
            <w:tcW w:type="dxa" w:w="2520"/>
            <w:vAlign w:val="top"/>
          </w:tcPr>
          <w:p>
            <w:r>
              <w:rPr>
                <w:sz w:val="17"/>
              </w:rPr>
              <w:t>Specify intended use, action, fallback, and clinical acceptance</w:t>
            </w:r>
          </w:p>
        </w:tc>
        <w:tc>
          <w:tcPr>
            <w:tcW w:type="dxa" w:w="2520"/>
            <w:vAlign w:val="top"/>
          </w:tcPr>
          <w:p>
            <w:r>
              <w:rPr>
                <w:sz w:val="17"/>
              </w:rPr>
              <w:t>Synthetic local baseline report; controlled dataset v1.2; evidence cut-off 2026-01-31.</w:t>
            </w:r>
          </w:p>
        </w:tc>
      </w:tr>
      <w:tr>
        <w:tc>
          <w:tcPr>
            <w:tcW w:type="dxa" w:w="2520"/>
            <w:vAlign w:val="top"/>
            <w:shd w:fill="EFEFEF"/>
          </w:tcPr>
          <w:p>
            <w:r>
              <w:rPr>
                <w:sz w:val="17"/>
              </w:rPr>
              <w:t>Quality and accreditation leads</w:t>
            </w:r>
          </w:p>
        </w:tc>
        <w:tc>
          <w:tcPr>
            <w:tcW w:type="dxa" w:w="2520"/>
            <w:vAlign w:val="top"/>
          </w:tcPr>
          <w:p>
            <w:r>
              <w:rPr>
                <w:sz w:val="17"/>
              </w:rPr>
              <w:t>Standards, controls, evidence, incidents, and improvement</w:t>
            </w:r>
          </w:p>
        </w:tc>
        <w:tc>
          <w:tcPr>
            <w:tcW w:type="dxa" w:w="2520"/>
            <w:vAlign w:val="top"/>
          </w:tcPr>
          <w:p>
            <w:r>
              <w:rPr>
                <w:sz w:val="17"/>
              </w:rPr>
              <w:t>Integrate the intervention into quality-management and accreditation processes</w:t>
            </w:r>
          </w:p>
        </w:tc>
        <w:tc>
          <w:tcPr>
            <w:tcW w:type="dxa" w:w="2520"/>
            <w:vAlign w:val="top"/>
          </w:tcPr>
          <w:p>
            <w:r>
              <w:rPr>
                <w:sz w:val="17"/>
              </w:rPr>
              <w:t>Synthetic local baseline report; controlled dataset v1.2; evidence cut-off 2026-01-31.</w:t>
            </w:r>
          </w:p>
        </w:tc>
      </w:tr>
      <w:tr>
        <w:tc>
          <w:tcPr>
            <w:tcW w:type="dxa" w:w="2520"/>
            <w:vAlign w:val="top"/>
            <w:shd w:fill="EFEFEF"/>
          </w:tcPr>
          <w:p>
            <w:r>
              <w:rPr>
                <w:sz w:val="17"/>
              </w:rPr>
              <w:t>Health economics, finance, payer, or HTA</w:t>
            </w:r>
          </w:p>
        </w:tc>
        <w:tc>
          <w:tcPr>
            <w:tcW w:type="dxa" w:w="2520"/>
            <w:vAlign w:val="top"/>
          </w:tcPr>
          <w:p>
            <w:r>
              <w:rPr>
                <w:sz w:val="17"/>
              </w:rPr>
              <w:t>Cost, outcomes, affordability, opportunity cost, reimbursement, and value</w:t>
            </w:r>
          </w:p>
        </w:tc>
        <w:tc>
          <w:tcPr>
            <w:tcW w:type="dxa" w:w="2520"/>
            <w:vAlign w:val="top"/>
          </w:tcPr>
          <w:p>
            <w:r>
              <w:rPr>
                <w:sz w:val="17"/>
              </w:rPr>
              <w:t>Approve economic methods, assumptions, and budget consequences</w:t>
            </w:r>
          </w:p>
        </w:tc>
        <w:tc>
          <w:tcPr>
            <w:tcW w:type="dxa" w:w="2520"/>
            <w:vAlign w:val="top"/>
          </w:tcPr>
          <w:p>
            <w:r>
              <w:rPr>
                <w:sz w:val="17"/>
              </w:rPr>
              <w:t>Synthetic local baseline report; controlled dataset v1.2; evidence cut-off 2026-01-31.</w:t>
            </w:r>
          </w:p>
        </w:tc>
      </w:tr>
      <w:tr>
        <w:tc>
          <w:tcPr>
            <w:tcW w:type="dxa" w:w="2520"/>
            <w:vAlign w:val="top"/>
            <w:shd w:fill="EFEFEF"/>
          </w:tcPr>
          <w:p>
            <w:r>
              <w:rPr>
                <w:sz w:val="17"/>
              </w:rPr>
              <w:t>Data, informatics, IT, and cybersecurity</w:t>
            </w:r>
          </w:p>
        </w:tc>
        <w:tc>
          <w:tcPr>
            <w:tcW w:type="dxa" w:w="2520"/>
            <w:vAlign w:val="top"/>
          </w:tcPr>
          <w:p>
            <w:r>
              <w:rPr>
                <w:sz w:val="17"/>
              </w:rPr>
              <w:t>Data fitness, interoperability, architecture, security, resilience, and monitoring</w:t>
            </w:r>
          </w:p>
        </w:tc>
        <w:tc>
          <w:tcPr>
            <w:tcW w:type="dxa" w:w="2520"/>
            <w:vAlign w:val="top"/>
          </w:tcPr>
          <w:p>
            <w:r>
              <w:rPr>
                <w:sz w:val="17"/>
              </w:rPr>
              <w:t>Verify technical readiness and continuing operability</w:t>
            </w:r>
          </w:p>
        </w:tc>
        <w:tc>
          <w:tcPr>
            <w:tcW w:type="dxa" w:w="2520"/>
            <w:vAlign w:val="top"/>
          </w:tcPr>
          <w:p>
            <w:r>
              <w:rPr>
                <w:sz w:val="17"/>
              </w:rPr>
              <w:t>Synthetic local baseline report; controlled dataset v1.2; evidence cut-off 2026-01-31.</w:t>
            </w:r>
          </w:p>
        </w:tc>
      </w:tr>
      <w:tr>
        <w:tc>
          <w:tcPr>
            <w:tcW w:type="dxa" w:w="2520"/>
            <w:vAlign w:val="top"/>
            <w:shd w:fill="EFEFEF"/>
          </w:tcPr>
          <w:p>
            <w:r>
              <w:rPr>
                <w:sz w:val="17"/>
              </w:rPr>
              <w:t>Ethics, privacy, legal, and compliance</w:t>
            </w:r>
          </w:p>
        </w:tc>
        <w:tc>
          <w:tcPr>
            <w:tcW w:type="dxa" w:w="2520"/>
            <w:vAlign w:val="top"/>
          </w:tcPr>
          <w:p>
            <w:r>
              <w:rPr>
                <w:sz w:val="17"/>
              </w:rPr>
              <w:t>Rights, lawful use, fairness, contestability, and obligations</w:t>
            </w:r>
          </w:p>
        </w:tc>
        <w:tc>
          <w:tcPr>
            <w:tcW w:type="dxa" w:w="2520"/>
            <w:vAlign w:val="top"/>
          </w:tcPr>
          <w:p>
            <w:r>
              <w:rPr>
                <w:sz w:val="17"/>
              </w:rPr>
              <w:t>Define mandatory safeguards and unresolved legal or ethical conditions</w:t>
            </w:r>
          </w:p>
        </w:tc>
        <w:tc>
          <w:tcPr>
            <w:tcW w:type="dxa" w:w="2520"/>
            <w:vAlign w:val="top"/>
          </w:tcPr>
          <w:p>
            <w:r>
              <w:rPr>
                <w:sz w:val="17"/>
              </w:rPr>
              <w:t>Synthetic local baseline report; controlled dataset v1.2; evidence cut-off 2026-01-31.</w:t>
            </w:r>
          </w:p>
        </w:tc>
      </w:tr>
      <w:tr>
        <w:tc>
          <w:tcPr>
            <w:tcW w:type="dxa" w:w="2520"/>
            <w:vAlign w:val="top"/>
            <w:shd w:fill="EFEFEF"/>
          </w:tcPr>
          <w:p>
            <w:r>
              <w:rPr>
                <w:sz w:val="17"/>
              </w:rPr>
              <w:t>Procurement and contract management</w:t>
            </w:r>
          </w:p>
        </w:tc>
        <w:tc>
          <w:tcPr>
            <w:tcW w:type="dxa" w:w="2520"/>
            <w:vAlign w:val="top"/>
          </w:tcPr>
          <w:p>
            <w:r>
              <w:rPr>
                <w:sz w:val="17"/>
              </w:rPr>
              <w:t>Evidence, price, service levels, updates, remedies, portability, and exit</w:t>
            </w:r>
          </w:p>
        </w:tc>
        <w:tc>
          <w:tcPr>
            <w:tcW w:type="dxa" w:w="2520"/>
            <w:vAlign w:val="top"/>
          </w:tcPr>
          <w:p>
            <w:r>
              <w:rPr>
                <w:sz w:val="17"/>
              </w:rPr>
              <w:t>Translate requirements into enforceable terms</w:t>
            </w:r>
          </w:p>
        </w:tc>
        <w:tc>
          <w:tcPr>
            <w:tcW w:type="dxa" w:w="2520"/>
            <w:vAlign w:val="top"/>
          </w:tcPr>
          <w:p>
            <w:r>
              <w:rPr>
                <w:sz w:val="17"/>
              </w:rPr>
              <w:t>Synthetic local baseline report; controlled dataset v1.2; evidence cut-off 2026-01-31.</w:t>
            </w:r>
          </w:p>
        </w:tc>
      </w:tr>
      <w:tr>
        <w:tc>
          <w:tcPr>
            <w:tcW w:type="dxa" w:w="2520"/>
            <w:vAlign w:val="top"/>
            <w:shd w:fill="EFEFEF"/>
          </w:tcPr>
          <w:p>
            <w:r>
              <w:rPr>
                <w:sz w:val="17"/>
              </w:rPr>
              <w:t>Patients, public, and workforce representatives</w:t>
            </w:r>
          </w:p>
        </w:tc>
        <w:tc>
          <w:tcPr>
            <w:tcW w:type="dxa" w:w="2520"/>
            <w:vAlign w:val="top"/>
          </w:tcPr>
          <w:p>
            <w:r>
              <w:rPr>
                <w:sz w:val="17"/>
              </w:rPr>
              <w:t>Access, experience, acceptability, trust, burden, and group effects</w:t>
            </w:r>
          </w:p>
        </w:tc>
        <w:tc>
          <w:tcPr>
            <w:tcW w:type="dxa" w:w="2520"/>
            <w:vAlign w:val="top"/>
          </w:tcPr>
          <w:p>
            <w:r>
              <w:rPr>
                <w:sz w:val="17"/>
              </w:rPr>
              <w:t>Contribute priorities, communication requirements, and challenge</w:t>
            </w:r>
          </w:p>
        </w:tc>
        <w:tc>
          <w:tcPr>
            <w:tcW w:type="dxa" w:w="2520"/>
            <w:vAlign w:val="top"/>
          </w:tcPr>
          <w:p>
            <w:r>
              <w:rPr>
                <w:sz w:val="17"/>
              </w:rPr>
              <w:t>Synthetic local baseline report; controlled dataset v1.2; evidence cut-off 2026-01-31.</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AIHE-A02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