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AIHE-A02 - Stakeholders, Decision Rights, and Participation</w:t>
      </w:r>
    </w:p>
    <w:p>
      <w:r>
        <w:rPr>
          <w:b/>
        </w:rPr>
        <w:t>Chapter 1: AI as a Health-System Intervention</w:t>
      </w:r>
    </w:p>
    <w:p>
      <w:r>
        <w:t>Identify affected parties, decision rights, participation duties, evidence contributions, and escalation authority.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AIHE-A02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Stakeholder record</w:t>
            </w:r>
          </w:p>
        </w:tc>
        <w:tc>
          <w:tcPr>
            <w:tcW w:type="dxa" w:w="2556"/>
            <w:vAlign w:val="top"/>
          </w:tcPr>
          <w:p>
            <w:r>
              <w:t>Stakeholder or affected group</w:t>
            </w:r>
          </w:p>
        </w:tc>
        <w:tc>
          <w:tcPr>
            <w:tcW w:type="dxa" w:w="2556"/>
            <w:vAlign w:val="top"/>
          </w:tcPr>
          <w:p>
            <w:r>
              <w:t>Include patients, staff, services, budget holders, suppliers, and public bodies.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Stakeholder record</w:t>
            </w:r>
          </w:p>
        </w:tc>
        <w:tc>
          <w:tcPr>
            <w:tcW w:type="dxa" w:w="2556"/>
            <w:vAlign w:val="top"/>
          </w:tcPr>
          <w:p>
            <w:r>
              <w:t>Interest, benefit, burden, or risk</w:t>
            </w:r>
          </w:p>
        </w:tc>
        <w:tc>
          <w:tcPr>
            <w:tcW w:type="dxa" w:w="2556"/>
            <w:vAlign w:val="top"/>
          </w:tcPr>
          <w:p>
            <w:r>
              <w:t>State likely effects.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Decision rights</w:t>
            </w:r>
          </w:p>
        </w:tc>
        <w:tc>
          <w:tcPr>
            <w:tcW w:type="dxa" w:w="2556"/>
            <w:vAlign w:val="top"/>
          </w:tcPr>
          <w:p>
            <w:r>
              <w:t>Authority held and limits of delegation</w:t>
            </w:r>
          </w:p>
        </w:tc>
        <w:tc>
          <w:tcPr>
            <w:tcW w:type="dxa" w:w="2556"/>
            <w:vAlign w:val="top"/>
          </w:tcPr>
          <w:p>
            <w:r>
              <w:t>Clarify approval, escalation, restriction, and stopping authority.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Participation</w:t>
            </w:r>
          </w:p>
        </w:tc>
        <w:tc>
          <w:tcPr>
            <w:tcW w:type="dxa" w:w="2556"/>
            <w:vAlign w:val="top"/>
          </w:tcPr>
          <w:p>
            <w:r>
              <w:t>How and when participation will occur</w:t>
            </w:r>
          </w:p>
        </w:tc>
        <w:tc>
          <w:tcPr>
            <w:tcW w:type="dxa" w:w="2556"/>
            <w:vAlign w:val="top"/>
          </w:tcPr>
          <w:p>
            <w:r>
              <w:t>Record accessible and proportionate involvement.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Evidence contribution</w:t>
            </w:r>
          </w:p>
        </w:tc>
        <w:tc>
          <w:tcPr>
            <w:tcW w:type="dxa" w:w="2556"/>
            <w:vAlign w:val="top"/>
          </w:tcPr>
          <w:p>
            <w:r>
              <w:t>Information or expertise supplied</w:t>
            </w:r>
          </w:p>
        </w:tc>
        <w:tc>
          <w:tcPr>
            <w:tcW w:type="dxa" w:w="2556"/>
            <w:vAlign w:val="top"/>
          </w:tcPr>
          <w:p>
            <w:r>
              <w:t>Name the evidence source.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Dissent and conflict</w:t>
            </w:r>
          </w:p>
        </w:tc>
        <w:tc>
          <w:tcPr>
            <w:tcW w:type="dxa" w:w="2556"/>
            <w:vAlign w:val="top"/>
          </w:tcPr>
          <w:p>
            <w:r>
              <w:t>Dissenting view or declared conflict</w:t>
            </w:r>
          </w:p>
        </w:tc>
        <w:tc>
          <w:tcPr>
            <w:tcW w:type="dxa" w:w="2556"/>
            <w:vAlign w:val="top"/>
          </w:tcPr>
          <w:p>
            <w:r>
              <w:t>Preserve material disagreement.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Escalation</w:t>
            </w:r>
          </w:p>
        </w:tc>
        <w:tc>
          <w:tcPr>
            <w:tcW w:type="dxa" w:w="2556"/>
            <w:vAlign w:val="top"/>
          </w:tcPr>
          <w:p>
            <w:r>
              <w:t>Escalation route and responsible authority</w:t>
            </w:r>
          </w:p>
        </w:tc>
        <w:tc>
          <w:tcPr>
            <w:tcW w:type="dxa" w:w="2556"/>
            <w:vAlign w:val="top"/>
          </w:tcPr>
          <w:p>
            <w:r>
              <w:t>Define the route before a dispute occurs.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AIHE-A02 - Stakeholders, Decision Rights, and Participation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