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t>Institutional Readiness Assessment</w:t>
      </w:r>
    </w:p>
    <w:p>
      <w:pPr>
        <w:jc w:val="centre"/>
      </w:pPr>
      <w:r>
        <w:rPr>
          <w:b/>
          <w:color w:val="7A2334"/>
        </w:rPr>
        <w:t>AIHE-A03</w:t>
      </w:r>
    </w:p>
    <w:p>
      <w:pPr>
        <w:spacing w:after="40"/>
      </w:pPr>
      <w:r>
        <w:rPr>
          <w:b/>
        </w:rPr>
        <w:t xml:space="preserve">Primary chapter: </w:t>
      </w:r>
      <w:r>
        <w:t>2 — Institutional Readiness and Digital Foundations</w:t>
      </w:r>
    </w:p>
    <w:p>
      <w:pPr>
        <w:spacing w:after="40"/>
      </w:pPr>
      <w:r>
        <w:rPr>
          <w:b/>
        </w:rPr>
        <w:t xml:space="preserve">Additional chapter alignment: </w:t>
      </w:r>
      <w:r>
        <w:t>2, 4, 5, 9, 10, 12</w:t>
      </w:r>
    </w:p>
    <w:p>
      <w:pPr>
        <w:spacing w:after="40"/>
      </w:pPr>
      <w:r>
        <w:rPr>
          <w:b/>
        </w:rPr>
        <w:t xml:space="preserve">Legacy aliases: </w:t>
      </w:r>
      <w:r>
        <w:t>AIHE-A, AIHE-L</w:t>
      </w:r>
    </w:p>
    <w:p>
      <w:pPr>
        <w:spacing w:after="40"/>
      </w:pPr>
      <w:r>
        <w:rPr>
          <w:b/>
        </w:rPr>
        <w:t xml:space="preserve">Version: </w:t>
      </w:r>
      <w:r>
        <w:t>V1.0</w:t>
      </w:r>
    </w:p>
    <w:p>
      <w:pPr>
        <w:pStyle w:val="Heading1"/>
      </w:pPr>
      <w:r>
        <w:t>Purpose</w:t>
      </w:r>
    </w:p>
    <w:p>
      <w:r>
        <w:t>Assess strategic, data, infrastructure, workflow, workforce, quality, economic, governance, procurement, and sustainability readiness.</w:t>
      </w:r>
    </w:p>
    <w:p>
      <w:pPr>
        <w:pStyle w:val="Heading1"/>
      </w:pPr>
      <w:r>
        <w:t>Instructions</w:t>
      </w:r>
    </w:p>
    <w:p>
      <w:pPr>
        <w:pStyle w:val="ListBullet"/>
      </w:pPr>
      <w:r>
        <w:t>Create a controlled project copy before entering institutional information.</w:t>
      </w:r>
    </w:p>
    <w:p>
      <w:pPr>
        <w:pStyle w:val="ListBullet"/>
      </w:pPr>
      <w:r>
        <w:t>Complete the record with the people who own the decision, evidence, workflow, budget, safeguards, and follow-up actions.</w:t>
      </w:r>
    </w:p>
    <w:p>
      <w:pPr>
        <w:pStyle w:val="ListBullet"/>
      </w:pPr>
      <w:r>
        <w:t>Distinguish documented evidence from assumptions, unresolved questions, and planned evidence collection.</w:t>
      </w:r>
    </w:p>
    <w:p>
      <w:pPr>
        <w:pStyle w:val="ListBullet"/>
      </w:pPr>
      <w:r>
        <w:t>Record the system and version, intended use, population, setting, comparator, evidence cut-off, accountable owner, decision conditions, review triggers, and exit or renewal criteria.</w:t>
      </w:r>
    </w:p>
    <w:p>
      <w:pPr>
        <w:pStyle w:val="ListBullet"/>
      </w:pPr>
      <w:r>
        <w:t>Do not enter identifiable patient information, credentials, private keys, or confidential contract details into uncontrolled copies.</w:t>
      </w:r>
    </w:p>
    <w:p>
      <w:pPr>
        <w:pStyle w:val="Heading1"/>
      </w:pPr>
      <w:r>
        <w:t>Status and limitations</w:t>
      </w:r>
    </w:p>
    <w:p>
      <w:r>
        <w:t>This resource is a structured decision-support and notes aid. It is not a validated clinical instrument, legal opinion, regulatory approval, accreditation decision, cybersecurity certification, procurement authorization, or health technology assessment. Adapt it to the applicable jurisdiction, institution, population, workflow, evidence base, and accountable authority.</w:t>
      </w:r>
    </w:p>
    <w:p>
      <w:pPr>
        <w:pStyle w:val="Heading1"/>
      </w:pPr>
      <w:r>
        <w:t>Blank institutional template</w:t>
      </w:r>
    </w:p>
    <w:tbl>
      <w:tblPr>
        <w:tblStyle w:val="TableGrid"/>
        <w:tblW w:type="auto" w:w="0"/>
        <w:jc w:val="centre"/>
        <w:tblLook w:firstColumn="1" w:firstRow="1" w:lastColumn="0" w:lastRow="0" w:noHBand="0" w:noVBand="1" w:val="04A0"/>
      </w:tblPr>
      <w:tblGrid>
        <w:gridCol w:w="2520"/>
        <w:gridCol w:w="2520"/>
        <w:gridCol w:w="2520"/>
        <w:gridCol w:w="2520"/>
      </w:tblGrid>
      <w:tr>
        <w:trPr>
          <w:tblHeader w:val="true"/>
        </w:trPr>
        <w:tc>
          <w:tcPr>
            <w:tcW w:type="dxa" w:w="2520"/>
            <w:shd w:fill="7A2334"/>
          </w:tcPr>
          <w:p>
            <w:r>
              <w:rPr>
                <w:b/>
                <w:color w:val="FFFFFF"/>
                <w:sz w:val="18"/>
              </w:rPr>
              <w:t>Domain</w:t>
            </w:r>
          </w:p>
        </w:tc>
        <w:tc>
          <w:tcPr>
            <w:tcW w:type="dxa" w:w="2520"/>
            <w:shd w:fill="7A2334"/>
          </w:tcPr>
          <w:p>
            <w:r>
              <w:rPr>
                <w:b/>
                <w:color w:val="FFFFFF"/>
                <w:sz w:val="18"/>
              </w:rPr>
              <w:t>Assessment question</w:t>
            </w:r>
          </w:p>
        </w:tc>
        <w:tc>
          <w:tcPr>
            <w:tcW w:type="dxa" w:w="2520"/>
            <w:shd w:fill="7A2334"/>
          </w:tcPr>
          <w:p>
            <w:r>
              <w:rPr>
                <w:b/>
                <w:color w:val="FFFFFF"/>
                <w:sz w:val="18"/>
              </w:rPr>
              <w:t>0–4</w:t>
            </w:r>
          </w:p>
        </w:tc>
        <w:tc>
          <w:tcPr>
            <w:tcW w:type="dxa" w:w="2520"/>
            <w:shd w:fill="7A2334"/>
          </w:tcPr>
          <w:p>
            <w:r>
              <w:rPr>
                <w:b/>
                <w:color w:val="FFFFFF"/>
                <w:sz w:val="18"/>
              </w:rPr>
              <w:t>Evidence, gap, prerequisite, and owner</w:t>
            </w:r>
          </w:p>
        </w:tc>
      </w:tr>
      <w:tr>
        <w:tc>
          <w:tcPr>
            <w:tcW w:type="dxa" w:w="2520"/>
            <w:vAlign w:val="top"/>
            <w:shd w:fill="F2E8EB"/>
          </w:tcPr>
          <w:p>
            <w:r>
              <w:rPr>
                <w:sz w:val="17"/>
              </w:rPr>
              <w:t>Strategic alignment</w:t>
            </w:r>
          </w:p>
        </w:tc>
        <w:tc>
          <w:tcPr>
            <w:tcW w:type="dxa" w:w="2520"/>
            <w:vAlign w:val="top"/>
          </w:tcPr>
          <w:p>
            <w:r>
              <w:rPr>
                <w:sz w:val="17"/>
              </w:rPr>
              <w:t>Is the problem linked to documented health-system priorities and realistic alternatives?</w:t>
            </w:r>
          </w:p>
        </w:tc>
        <w:tc>
          <w:tcPr>
            <w:tcW w:type="dxa" w:w="2520"/>
            <w:vAlign w:val="top"/>
          </w:tcPr>
          <w:p>
            <w:r>
              <w:rPr>
                <w:sz w:val="17"/>
              </w:rPr>
            </w:r>
          </w:p>
        </w:tc>
        <w:tc>
          <w:tcPr>
            <w:tcW w:type="dxa" w:w="2520"/>
            <w:vAlign w:val="top"/>
          </w:tcPr>
          <w:p>
            <w:r>
              <w:rPr>
                <w:sz w:val="17"/>
              </w:rPr>
            </w:r>
          </w:p>
        </w:tc>
      </w:tr>
      <w:tr>
        <w:tc>
          <w:tcPr>
            <w:tcW w:type="dxa" w:w="2520"/>
            <w:vAlign w:val="top"/>
            <w:shd w:fill="F2E8EB"/>
          </w:tcPr>
          <w:p>
            <w:r>
              <w:rPr>
                <w:sz w:val="17"/>
              </w:rPr>
              <w:t>Data fitness</w:t>
            </w:r>
          </w:p>
        </w:tc>
        <w:tc>
          <w:tcPr>
            <w:tcW w:type="dxa" w:w="2520"/>
            <w:vAlign w:val="top"/>
          </w:tcPr>
          <w:p>
            <w:r>
              <w:rPr>
                <w:sz w:val="17"/>
              </w:rPr>
              <w:t>Are required data lawful, available, timely, representative, traceable, and sustainable?</w:t>
            </w:r>
          </w:p>
        </w:tc>
        <w:tc>
          <w:tcPr>
            <w:tcW w:type="dxa" w:w="2520"/>
            <w:vAlign w:val="top"/>
          </w:tcPr>
          <w:p>
            <w:r>
              <w:rPr>
                <w:sz w:val="17"/>
              </w:rPr>
            </w:r>
          </w:p>
        </w:tc>
        <w:tc>
          <w:tcPr>
            <w:tcW w:type="dxa" w:w="2520"/>
            <w:vAlign w:val="top"/>
          </w:tcPr>
          <w:p>
            <w:r>
              <w:rPr>
                <w:sz w:val="17"/>
              </w:rPr>
            </w:r>
          </w:p>
        </w:tc>
      </w:tr>
      <w:tr>
        <w:tc>
          <w:tcPr>
            <w:tcW w:type="dxa" w:w="2520"/>
            <w:vAlign w:val="top"/>
            <w:shd w:fill="F2E8EB"/>
          </w:tcPr>
          <w:p>
            <w:r>
              <w:rPr>
                <w:sz w:val="17"/>
              </w:rPr>
              <w:t>Interoperability</w:t>
            </w:r>
          </w:p>
        </w:tc>
        <w:tc>
          <w:tcPr>
            <w:tcW w:type="dxa" w:w="2520"/>
            <w:vAlign w:val="top"/>
          </w:tcPr>
          <w:p>
            <w:r>
              <w:rPr>
                <w:sz w:val="17"/>
              </w:rPr>
              <w:t>Can inputs and outputs be exchanged and interpreted consistently within the decision window?</w:t>
            </w:r>
          </w:p>
        </w:tc>
        <w:tc>
          <w:tcPr>
            <w:tcW w:type="dxa" w:w="2520"/>
            <w:vAlign w:val="top"/>
          </w:tcPr>
          <w:p>
            <w:r>
              <w:rPr>
                <w:sz w:val="17"/>
              </w:rPr>
            </w:r>
          </w:p>
        </w:tc>
        <w:tc>
          <w:tcPr>
            <w:tcW w:type="dxa" w:w="2520"/>
            <w:vAlign w:val="top"/>
          </w:tcPr>
          <w:p>
            <w:r>
              <w:rPr>
                <w:sz w:val="17"/>
              </w:rPr>
            </w:r>
          </w:p>
        </w:tc>
      </w:tr>
      <w:tr>
        <w:tc>
          <w:tcPr>
            <w:tcW w:type="dxa" w:w="2520"/>
            <w:vAlign w:val="top"/>
            <w:shd w:fill="F2E8EB"/>
          </w:tcPr>
          <w:p>
            <w:r>
              <w:rPr>
                <w:sz w:val="17"/>
              </w:rPr>
              <w:t>Infrastructure and resilience</w:t>
            </w:r>
          </w:p>
        </w:tc>
        <w:tc>
          <w:tcPr>
            <w:tcW w:type="dxa" w:w="2520"/>
            <w:vAlign w:val="top"/>
          </w:tcPr>
          <w:p>
            <w:r>
              <w:rPr>
                <w:sz w:val="17"/>
              </w:rPr>
              <w:t>Are identity, access, compute, storage, interfaces, logging, fallback, and recovery adequate?</w:t>
            </w:r>
          </w:p>
        </w:tc>
        <w:tc>
          <w:tcPr>
            <w:tcW w:type="dxa" w:w="2520"/>
            <w:vAlign w:val="top"/>
          </w:tcPr>
          <w:p>
            <w:r>
              <w:rPr>
                <w:sz w:val="17"/>
              </w:rPr>
            </w:r>
          </w:p>
        </w:tc>
        <w:tc>
          <w:tcPr>
            <w:tcW w:type="dxa" w:w="2520"/>
            <w:vAlign w:val="top"/>
          </w:tcPr>
          <w:p>
            <w:r>
              <w:rPr>
                <w:sz w:val="17"/>
              </w:rPr>
            </w:r>
          </w:p>
        </w:tc>
      </w:tr>
      <w:tr>
        <w:tc>
          <w:tcPr>
            <w:tcW w:type="dxa" w:w="2520"/>
            <w:vAlign w:val="top"/>
            <w:shd w:fill="F2E8EB"/>
          </w:tcPr>
          <w:p>
            <w:r>
              <w:rPr>
                <w:sz w:val="17"/>
              </w:rPr>
              <w:t>Workflow and downstream capacity</w:t>
            </w:r>
          </w:p>
        </w:tc>
        <w:tc>
          <w:tcPr>
            <w:tcW w:type="dxa" w:w="2520"/>
            <w:vAlign w:val="top"/>
          </w:tcPr>
          <w:p>
            <w:r>
              <w:rPr>
                <w:sz w:val="17"/>
              </w:rPr>
              <w:t>Can users interpret the output and take the intended action without shifting unsafe burden?</w:t>
            </w:r>
          </w:p>
        </w:tc>
        <w:tc>
          <w:tcPr>
            <w:tcW w:type="dxa" w:w="2520"/>
            <w:vAlign w:val="top"/>
          </w:tcPr>
          <w:p>
            <w:r>
              <w:rPr>
                <w:sz w:val="17"/>
              </w:rPr>
            </w:r>
          </w:p>
        </w:tc>
        <w:tc>
          <w:tcPr>
            <w:tcW w:type="dxa" w:w="2520"/>
            <w:vAlign w:val="top"/>
          </w:tcPr>
          <w:p>
            <w:r>
              <w:rPr>
                <w:sz w:val="17"/>
              </w:rPr>
            </w:r>
          </w:p>
        </w:tc>
      </w:tr>
      <w:tr>
        <w:tc>
          <w:tcPr>
            <w:tcW w:type="dxa" w:w="2520"/>
            <w:vAlign w:val="top"/>
            <w:shd w:fill="F2E8EB"/>
          </w:tcPr>
          <w:p>
            <w:r>
              <w:rPr>
                <w:sz w:val="17"/>
              </w:rPr>
              <w:t>Workforce capability</w:t>
            </w:r>
          </w:p>
        </w:tc>
        <w:tc>
          <w:tcPr>
            <w:tcW w:type="dxa" w:w="2520"/>
            <w:vAlign w:val="top"/>
          </w:tcPr>
          <w:p>
            <w:r>
              <w:rPr>
                <w:sz w:val="17"/>
              </w:rPr>
              <w:t>Are roles, training, competency, supervision, and professional responsibilities defined?</w:t>
            </w:r>
          </w:p>
        </w:tc>
        <w:tc>
          <w:tcPr>
            <w:tcW w:type="dxa" w:w="2520"/>
            <w:vAlign w:val="top"/>
          </w:tcPr>
          <w:p>
            <w:r>
              <w:rPr>
                <w:sz w:val="17"/>
              </w:rPr>
            </w:r>
          </w:p>
        </w:tc>
        <w:tc>
          <w:tcPr>
            <w:tcW w:type="dxa" w:w="2520"/>
            <w:vAlign w:val="top"/>
          </w:tcPr>
          <w:p>
            <w:r>
              <w:rPr>
                <w:sz w:val="17"/>
              </w:rPr>
            </w:r>
          </w:p>
        </w:tc>
      </w:tr>
      <w:tr>
        <w:tc>
          <w:tcPr>
            <w:tcW w:type="dxa" w:w="2520"/>
            <w:vAlign w:val="top"/>
            <w:shd w:fill="F2E8EB"/>
          </w:tcPr>
          <w:p>
            <w:r>
              <w:rPr>
                <w:sz w:val="17"/>
              </w:rPr>
              <w:t>Quality and accreditation</w:t>
            </w:r>
          </w:p>
        </w:tc>
        <w:tc>
          <w:tcPr>
            <w:tcW w:type="dxa" w:w="2520"/>
            <w:vAlign w:val="top"/>
          </w:tcPr>
          <w:p>
            <w:r>
              <w:rPr>
                <w:sz w:val="17"/>
              </w:rPr>
              <w:t>Are controls, indicators, evidence, incident processes, and improvement responsibilities integrated?</w:t>
            </w:r>
          </w:p>
        </w:tc>
        <w:tc>
          <w:tcPr>
            <w:tcW w:type="dxa" w:w="2520"/>
            <w:vAlign w:val="top"/>
          </w:tcPr>
          <w:p>
            <w:r>
              <w:rPr>
                <w:sz w:val="17"/>
              </w:rPr>
            </w:r>
          </w:p>
        </w:tc>
        <w:tc>
          <w:tcPr>
            <w:tcW w:type="dxa" w:w="2520"/>
            <w:vAlign w:val="top"/>
          </w:tcPr>
          <w:p>
            <w:r>
              <w:rPr>
                <w:sz w:val="17"/>
              </w:rPr>
            </w:r>
          </w:p>
        </w:tc>
      </w:tr>
      <w:tr>
        <w:tc>
          <w:tcPr>
            <w:tcW w:type="dxa" w:w="2520"/>
            <w:vAlign w:val="top"/>
            <w:shd w:fill="F2E8EB"/>
          </w:tcPr>
          <w:p>
            <w:r>
              <w:rPr>
                <w:sz w:val="17"/>
              </w:rPr>
              <w:t>Economics and affordability</w:t>
            </w:r>
          </w:p>
        </w:tc>
        <w:tc>
          <w:tcPr>
            <w:tcW w:type="dxa" w:w="2520"/>
            <w:vAlign w:val="top"/>
          </w:tcPr>
          <w:p>
            <w:r>
              <w:rPr>
                <w:sz w:val="17"/>
              </w:rPr>
              <w:t>Are lifecycle costs, resource constraints, benefits, uncertainty, and budget exposure understood?</w:t>
            </w:r>
          </w:p>
        </w:tc>
        <w:tc>
          <w:tcPr>
            <w:tcW w:type="dxa" w:w="2520"/>
            <w:vAlign w:val="top"/>
          </w:tcPr>
          <w:p>
            <w:r>
              <w:rPr>
                <w:sz w:val="17"/>
              </w:rPr>
            </w:r>
          </w:p>
        </w:tc>
        <w:tc>
          <w:tcPr>
            <w:tcW w:type="dxa" w:w="2520"/>
            <w:vAlign w:val="top"/>
          </w:tcPr>
          <w:p>
            <w:r>
              <w:rPr>
                <w:sz w:val="17"/>
              </w:rPr>
            </w:r>
          </w:p>
        </w:tc>
      </w:tr>
      <w:tr>
        <w:tc>
          <w:tcPr>
            <w:tcW w:type="dxa" w:w="2520"/>
            <w:vAlign w:val="top"/>
            <w:shd w:fill="F2E8EB"/>
          </w:tcPr>
          <w:p>
            <w:r>
              <w:rPr>
                <w:sz w:val="17"/>
              </w:rPr>
              <w:t>Governance and assurance</w:t>
            </w:r>
          </w:p>
        </w:tc>
        <w:tc>
          <w:tcPr>
            <w:tcW w:type="dxa" w:w="2520"/>
            <w:vAlign w:val="top"/>
          </w:tcPr>
          <w:p>
            <w:r>
              <w:rPr>
                <w:sz w:val="17"/>
              </w:rPr>
              <w:t>Are decision rights, safeguards, independent review, monitoring, and authority to stop defined?</w:t>
            </w:r>
          </w:p>
        </w:tc>
        <w:tc>
          <w:tcPr>
            <w:tcW w:type="dxa" w:w="2520"/>
            <w:vAlign w:val="top"/>
          </w:tcPr>
          <w:p>
            <w:r>
              <w:rPr>
                <w:sz w:val="17"/>
              </w:rPr>
            </w:r>
          </w:p>
        </w:tc>
        <w:tc>
          <w:tcPr>
            <w:tcW w:type="dxa" w:w="2520"/>
            <w:vAlign w:val="top"/>
          </w:tcPr>
          <w:p>
            <w:r>
              <w:rPr>
                <w:sz w:val="17"/>
              </w:rPr>
            </w:r>
          </w:p>
        </w:tc>
      </w:tr>
      <w:tr>
        <w:tc>
          <w:tcPr>
            <w:tcW w:type="dxa" w:w="2520"/>
            <w:vAlign w:val="top"/>
            <w:shd w:fill="F2E8EB"/>
          </w:tcPr>
          <w:p>
            <w:r>
              <w:rPr>
                <w:sz w:val="17"/>
              </w:rPr>
              <w:t>Procurement and vendor readiness</w:t>
            </w:r>
          </w:p>
        </w:tc>
        <w:tc>
          <w:tcPr>
            <w:tcW w:type="dxa" w:w="2520"/>
            <w:vAlign w:val="top"/>
          </w:tcPr>
          <w:p>
            <w:r>
              <w:rPr>
                <w:sz w:val="17"/>
              </w:rPr>
              <w:t>Can evidence, audit, updates, data rights, support, pricing, portability, and exit be contracted?</w:t>
            </w:r>
          </w:p>
        </w:tc>
        <w:tc>
          <w:tcPr>
            <w:tcW w:type="dxa" w:w="2520"/>
            <w:vAlign w:val="top"/>
          </w:tcPr>
          <w:p>
            <w:r>
              <w:rPr>
                <w:sz w:val="17"/>
              </w:rPr>
            </w:r>
          </w:p>
        </w:tc>
        <w:tc>
          <w:tcPr>
            <w:tcW w:type="dxa" w:w="2520"/>
            <w:vAlign w:val="top"/>
          </w:tcPr>
          <w:p>
            <w:r>
              <w:rPr>
                <w:sz w:val="17"/>
              </w:rPr>
            </w:r>
          </w:p>
        </w:tc>
      </w:tr>
      <w:tr>
        <w:tc>
          <w:tcPr>
            <w:tcW w:type="dxa" w:w="2520"/>
            <w:vAlign w:val="top"/>
            <w:shd w:fill="F2E8EB"/>
          </w:tcPr>
          <w:p>
            <w:r>
              <w:rPr>
                <w:sz w:val="17"/>
              </w:rPr>
              <w:t>Circularity and sustainability</w:t>
            </w:r>
          </w:p>
        </w:tc>
        <w:tc>
          <w:tcPr>
            <w:tcW w:type="dxa" w:w="2520"/>
            <w:vAlign w:val="top"/>
          </w:tcPr>
          <w:p>
            <w:r>
              <w:rPr>
                <w:sz w:val="17"/>
              </w:rPr>
              <w:t>Are resource demand, asset life, maintenance, take-back, residual value, and disposition considered where material?</w:t>
            </w:r>
          </w:p>
        </w:tc>
        <w:tc>
          <w:tcPr>
            <w:tcW w:type="dxa" w:w="2520"/>
            <w:vAlign w:val="top"/>
          </w:tcPr>
          <w:p>
            <w:r>
              <w:rPr>
                <w:sz w:val="17"/>
              </w:rPr>
            </w:r>
          </w:p>
        </w:tc>
        <w:tc>
          <w:tcPr>
            <w:tcW w:type="dxa" w:w="2520"/>
            <w:vAlign w:val="top"/>
          </w:tcPr>
          <w:p>
            <w:r>
              <w:rPr>
                <w:sz w:val="17"/>
              </w:rPr>
            </w:r>
          </w:p>
        </w:tc>
      </w:tr>
    </w:tbl>
    <w:p>
      <w:r/>
    </w:p>
    <w:p>
      <w:pPr>
        <w:pStyle w:val="Heading1"/>
      </w:pPr>
      <w:r>
        <w:t>Worked synthetic example</w:t>
      </w:r>
    </w:p>
    <w:p>
      <w:r>
        <w:t>This example demonstrates completion logic only. It is not an empirical finding and should not be reused as institutional evidence.</w:t>
      </w:r>
    </w:p>
    <w:tbl>
      <w:tblPr>
        <w:tblStyle w:val="TableGrid"/>
        <w:tblW w:type="auto" w:w="0"/>
        <w:jc w:val="centre"/>
        <w:tblLook w:firstColumn="1" w:firstRow="1" w:lastColumn="0" w:lastRow="0" w:noHBand="0" w:noVBand="1" w:val="04A0"/>
      </w:tblPr>
      <w:tblGrid>
        <w:gridCol w:w="2520"/>
        <w:gridCol w:w="2520"/>
        <w:gridCol w:w="2520"/>
        <w:gridCol w:w="2520"/>
      </w:tblGrid>
      <w:tr>
        <w:trPr>
          <w:tblHeader w:val="true"/>
        </w:trPr>
        <w:tc>
          <w:tcPr>
            <w:tcW w:type="dxa" w:w="2520"/>
            <w:shd w:fill="52565A"/>
          </w:tcPr>
          <w:p>
            <w:r>
              <w:rPr>
                <w:b/>
                <w:color w:val="FFFFFF"/>
                <w:sz w:val="18"/>
              </w:rPr>
              <w:t>Domain</w:t>
            </w:r>
          </w:p>
        </w:tc>
        <w:tc>
          <w:tcPr>
            <w:tcW w:type="dxa" w:w="2520"/>
            <w:shd w:fill="52565A"/>
          </w:tcPr>
          <w:p>
            <w:r>
              <w:rPr>
                <w:b/>
                <w:color w:val="FFFFFF"/>
                <w:sz w:val="18"/>
              </w:rPr>
              <w:t>Assessment question</w:t>
            </w:r>
          </w:p>
        </w:tc>
        <w:tc>
          <w:tcPr>
            <w:tcW w:type="dxa" w:w="2520"/>
            <w:shd w:fill="52565A"/>
          </w:tcPr>
          <w:p>
            <w:r>
              <w:rPr>
                <w:b/>
                <w:color w:val="FFFFFF"/>
                <w:sz w:val="18"/>
              </w:rPr>
              <w:t>0–4</w:t>
            </w:r>
          </w:p>
        </w:tc>
        <w:tc>
          <w:tcPr>
            <w:tcW w:type="dxa" w:w="2520"/>
            <w:shd w:fill="52565A"/>
          </w:tcPr>
          <w:p>
            <w:r>
              <w:rPr>
                <w:b/>
                <w:color w:val="FFFFFF"/>
                <w:sz w:val="18"/>
              </w:rPr>
              <w:t>Evidence, gap, prerequisite, and owner</w:t>
            </w:r>
          </w:p>
        </w:tc>
      </w:tr>
      <w:tr>
        <w:tc>
          <w:tcPr>
            <w:tcW w:type="dxa" w:w="2520"/>
            <w:vAlign w:val="top"/>
            <w:shd w:fill="EFEFEF"/>
          </w:tcPr>
          <w:p>
            <w:r>
              <w:rPr>
                <w:sz w:val="17"/>
              </w:rPr>
              <w:t>Strategic alignment</w:t>
            </w:r>
          </w:p>
        </w:tc>
        <w:tc>
          <w:tcPr>
            <w:tcW w:type="dxa" w:w="2520"/>
            <w:vAlign w:val="top"/>
          </w:tcPr>
          <w:p>
            <w:r>
              <w:rPr>
                <w:sz w:val="17"/>
              </w:rPr>
              <w:t>Is the problem linked to documented health-system priorities and realistic alternatives?</w:t>
            </w:r>
          </w:p>
        </w:tc>
        <w:tc>
          <w:tcPr>
            <w:tcW w:type="dxa" w:w="2520"/>
            <w:vAlign w:val="top"/>
          </w:tcPr>
          <w:p>
            <w:r>
              <w:rPr>
                <w:sz w:val="17"/>
              </w:rPr>
              <w:t>3</w:t>
            </w:r>
          </w:p>
        </w:tc>
        <w:tc>
          <w:tcPr>
            <w:tcW w:type="dxa" w:w="2520"/>
            <w:vAlign w:val="top"/>
          </w:tcPr>
          <w:p>
            <w:r>
              <w:rPr>
                <w:sz w:val="17"/>
              </w:rPr>
              <w:t>Clinical service lead</w:t>
            </w:r>
          </w:p>
        </w:tc>
      </w:tr>
      <w:tr>
        <w:tc>
          <w:tcPr>
            <w:tcW w:type="dxa" w:w="2520"/>
            <w:vAlign w:val="top"/>
            <w:shd w:fill="EFEFEF"/>
          </w:tcPr>
          <w:p>
            <w:r>
              <w:rPr>
                <w:sz w:val="17"/>
              </w:rPr>
              <w:t>Data fitness</w:t>
            </w:r>
          </w:p>
        </w:tc>
        <w:tc>
          <w:tcPr>
            <w:tcW w:type="dxa" w:w="2520"/>
            <w:vAlign w:val="top"/>
          </w:tcPr>
          <w:p>
            <w:r>
              <w:rPr>
                <w:sz w:val="17"/>
              </w:rPr>
              <w:t>Are required data lawful, available, timely, representative, traceable, and sustainable?</w:t>
            </w:r>
          </w:p>
        </w:tc>
        <w:tc>
          <w:tcPr>
            <w:tcW w:type="dxa" w:w="2520"/>
            <w:vAlign w:val="top"/>
          </w:tcPr>
          <w:p>
            <w:r>
              <w:rPr>
                <w:sz w:val="17"/>
              </w:rPr>
              <w:t>3</w:t>
            </w:r>
          </w:p>
        </w:tc>
        <w:tc>
          <w:tcPr>
            <w:tcW w:type="dxa" w:w="2520"/>
            <w:vAlign w:val="top"/>
          </w:tcPr>
          <w:p>
            <w:r>
              <w:rPr>
                <w:sz w:val="17"/>
              </w:rPr>
              <w:t>Quality lead</w:t>
            </w:r>
          </w:p>
        </w:tc>
      </w:tr>
      <w:tr>
        <w:tc>
          <w:tcPr>
            <w:tcW w:type="dxa" w:w="2520"/>
            <w:vAlign w:val="top"/>
            <w:shd w:fill="EFEFEF"/>
          </w:tcPr>
          <w:p>
            <w:r>
              <w:rPr>
                <w:sz w:val="17"/>
              </w:rPr>
              <w:t>Interoperability</w:t>
            </w:r>
          </w:p>
        </w:tc>
        <w:tc>
          <w:tcPr>
            <w:tcW w:type="dxa" w:w="2520"/>
            <w:vAlign w:val="top"/>
          </w:tcPr>
          <w:p>
            <w:r>
              <w:rPr>
                <w:sz w:val="17"/>
              </w:rPr>
              <w:t>Can inputs and outputs be exchanged and interpreted consistently within the decision window?</w:t>
            </w:r>
          </w:p>
        </w:tc>
        <w:tc>
          <w:tcPr>
            <w:tcW w:type="dxa" w:w="2520"/>
            <w:vAlign w:val="top"/>
          </w:tcPr>
          <w:p>
            <w:r>
              <w:rPr>
                <w:sz w:val="17"/>
              </w:rPr>
              <w:t>3</w:t>
            </w:r>
          </w:p>
        </w:tc>
        <w:tc>
          <w:tcPr>
            <w:tcW w:type="dxa" w:w="2520"/>
            <w:vAlign w:val="top"/>
          </w:tcPr>
          <w:p>
            <w:r>
              <w:rPr>
                <w:sz w:val="17"/>
              </w:rPr>
              <w:t>Data steward</w:t>
            </w:r>
          </w:p>
        </w:tc>
      </w:tr>
      <w:tr>
        <w:tc>
          <w:tcPr>
            <w:tcW w:type="dxa" w:w="2520"/>
            <w:vAlign w:val="top"/>
            <w:shd w:fill="EFEFEF"/>
          </w:tcPr>
          <w:p>
            <w:r>
              <w:rPr>
                <w:sz w:val="17"/>
              </w:rPr>
              <w:t>Infrastructure and resilience</w:t>
            </w:r>
          </w:p>
        </w:tc>
        <w:tc>
          <w:tcPr>
            <w:tcW w:type="dxa" w:w="2520"/>
            <w:vAlign w:val="top"/>
          </w:tcPr>
          <w:p>
            <w:r>
              <w:rPr>
                <w:sz w:val="17"/>
              </w:rPr>
              <w:t>Are identity, access, compute, storage, interfaces, logging, fallback, and recovery adequate?</w:t>
            </w:r>
          </w:p>
        </w:tc>
        <w:tc>
          <w:tcPr>
            <w:tcW w:type="dxa" w:w="2520"/>
            <w:vAlign w:val="top"/>
          </w:tcPr>
          <w:p>
            <w:r>
              <w:rPr>
                <w:sz w:val="17"/>
              </w:rPr>
              <w:t>3</w:t>
            </w:r>
          </w:p>
        </w:tc>
        <w:tc>
          <w:tcPr>
            <w:tcW w:type="dxa" w:w="2520"/>
            <w:vAlign w:val="top"/>
          </w:tcPr>
          <w:p>
            <w:r>
              <w:rPr>
                <w:sz w:val="17"/>
              </w:rPr>
              <w:t>Health economist</w:t>
            </w:r>
          </w:p>
        </w:tc>
      </w:tr>
      <w:tr>
        <w:tc>
          <w:tcPr>
            <w:tcW w:type="dxa" w:w="2520"/>
            <w:vAlign w:val="top"/>
            <w:shd w:fill="EFEFEF"/>
          </w:tcPr>
          <w:p>
            <w:r>
              <w:rPr>
                <w:sz w:val="17"/>
              </w:rPr>
              <w:t>Workflow and downstream capacity</w:t>
            </w:r>
          </w:p>
        </w:tc>
        <w:tc>
          <w:tcPr>
            <w:tcW w:type="dxa" w:w="2520"/>
            <w:vAlign w:val="top"/>
          </w:tcPr>
          <w:p>
            <w:r>
              <w:rPr>
                <w:sz w:val="17"/>
              </w:rPr>
              <w:t>Can users interpret the output and take the intended action without shifting unsafe burden?</w:t>
            </w:r>
          </w:p>
        </w:tc>
        <w:tc>
          <w:tcPr>
            <w:tcW w:type="dxa" w:w="2520"/>
            <w:vAlign w:val="top"/>
          </w:tcPr>
          <w:p>
            <w:r>
              <w:rPr>
                <w:sz w:val="17"/>
              </w:rPr>
              <w:t>3</w:t>
            </w:r>
          </w:p>
        </w:tc>
        <w:tc>
          <w:tcPr>
            <w:tcW w:type="dxa" w:w="2520"/>
            <w:vAlign w:val="top"/>
          </w:tcPr>
          <w:p>
            <w:r>
              <w:rPr>
                <w:sz w:val="17"/>
              </w:rPr>
              <w:t>Procurement lead</w:t>
            </w:r>
          </w:p>
        </w:tc>
      </w:tr>
      <w:tr>
        <w:tc>
          <w:tcPr>
            <w:tcW w:type="dxa" w:w="2520"/>
            <w:vAlign w:val="top"/>
            <w:shd w:fill="EFEFEF"/>
          </w:tcPr>
          <w:p>
            <w:r>
              <w:rPr>
                <w:sz w:val="17"/>
              </w:rPr>
              <w:t>Workforce capability</w:t>
            </w:r>
          </w:p>
        </w:tc>
        <w:tc>
          <w:tcPr>
            <w:tcW w:type="dxa" w:w="2520"/>
            <w:vAlign w:val="top"/>
          </w:tcPr>
          <w:p>
            <w:r>
              <w:rPr>
                <w:sz w:val="17"/>
              </w:rPr>
              <w:t>Are roles, training, competency, supervision, and professional responsibilities defined?</w:t>
            </w:r>
          </w:p>
        </w:tc>
        <w:tc>
          <w:tcPr>
            <w:tcW w:type="dxa" w:w="2520"/>
            <w:vAlign w:val="top"/>
          </w:tcPr>
          <w:p>
            <w:r>
              <w:rPr>
                <w:sz w:val="17"/>
              </w:rPr>
              <w:t>3</w:t>
            </w:r>
          </w:p>
        </w:tc>
        <w:tc>
          <w:tcPr>
            <w:tcW w:type="dxa" w:w="2520"/>
            <w:vAlign w:val="top"/>
          </w:tcPr>
          <w:p>
            <w:r>
              <w:rPr>
                <w:sz w:val="17"/>
              </w:rPr>
              <w:t>Clinical service lead</w:t>
            </w:r>
          </w:p>
        </w:tc>
      </w:tr>
      <w:tr>
        <w:tc>
          <w:tcPr>
            <w:tcW w:type="dxa" w:w="2520"/>
            <w:vAlign w:val="top"/>
            <w:shd w:fill="EFEFEF"/>
          </w:tcPr>
          <w:p>
            <w:r>
              <w:rPr>
                <w:sz w:val="17"/>
              </w:rPr>
              <w:t>Quality and accreditation</w:t>
            </w:r>
          </w:p>
        </w:tc>
        <w:tc>
          <w:tcPr>
            <w:tcW w:type="dxa" w:w="2520"/>
            <w:vAlign w:val="top"/>
          </w:tcPr>
          <w:p>
            <w:r>
              <w:rPr>
                <w:sz w:val="17"/>
              </w:rPr>
              <w:t>Are controls, indicators, evidence, incident processes, and improvement responsibilities integrated?</w:t>
            </w:r>
          </w:p>
        </w:tc>
        <w:tc>
          <w:tcPr>
            <w:tcW w:type="dxa" w:w="2520"/>
            <w:vAlign w:val="top"/>
          </w:tcPr>
          <w:p>
            <w:r>
              <w:rPr>
                <w:sz w:val="17"/>
              </w:rPr>
              <w:t>3</w:t>
            </w:r>
          </w:p>
        </w:tc>
        <w:tc>
          <w:tcPr>
            <w:tcW w:type="dxa" w:w="2520"/>
            <w:vAlign w:val="top"/>
          </w:tcPr>
          <w:p>
            <w:r>
              <w:rPr>
                <w:sz w:val="17"/>
              </w:rPr>
              <w:t>Quality lead</w:t>
            </w:r>
          </w:p>
        </w:tc>
      </w:tr>
      <w:tr>
        <w:tc>
          <w:tcPr>
            <w:tcW w:type="dxa" w:w="2520"/>
            <w:vAlign w:val="top"/>
            <w:shd w:fill="EFEFEF"/>
          </w:tcPr>
          <w:p>
            <w:r>
              <w:rPr>
                <w:sz w:val="17"/>
              </w:rPr>
              <w:t>Economics and affordability</w:t>
            </w:r>
          </w:p>
        </w:tc>
        <w:tc>
          <w:tcPr>
            <w:tcW w:type="dxa" w:w="2520"/>
            <w:vAlign w:val="top"/>
          </w:tcPr>
          <w:p>
            <w:r>
              <w:rPr>
                <w:sz w:val="17"/>
              </w:rPr>
              <w:t>Are lifecycle costs, resource constraints, benefits, uncertainty, and budget exposure understood?</w:t>
            </w:r>
          </w:p>
        </w:tc>
        <w:tc>
          <w:tcPr>
            <w:tcW w:type="dxa" w:w="2520"/>
            <w:vAlign w:val="top"/>
          </w:tcPr>
          <w:p>
            <w:r>
              <w:rPr>
                <w:sz w:val="17"/>
              </w:rPr>
              <w:t>3</w:t>
            </w:r>
          </w:p>
        </w:tc>
        <w:tc>
          <w:tcPr>
            <w:tcW w:type="dxa" w:w="2520"/>
            <w:vAlign w:val="top"/>
          </w:tcPr>
          <w:p>
            <w:r>
              <w:rPr>
                <w:sz w:val="17"/>
              </w:rPr>
              <w:t>Data steward</w:t>
            </w:r>
          </w:p>
        </w:tc>
      </w:tr>
      <w:tr>
        <w:tc>
          <w:tcPr>
            <w:tcW w:type="dxa" w:w="2520"/>
            <w:vAlign w:val="top"/>
            <w:shd w:fill="EFEFEF"/>
          </w:tcPr>
          <w:p>
            <w:r>
              <w:rPr>
                <w:sz w:val="17"/>
              </w:rPr>
              <w:t>Governance and assurance</w:t>
            </w:r>
          </w:p>
        </w:tc>
        <w:tc>
          <w:tcPr>
            <w:tcW w:type="dxa" w:w="2520"/>
            <w:vAlign w:val="top"/>
          </w:tcPr>
          <w:p>
            <w:r>
              <w:rPr>
                <w:sz w:val="17"/>
              </w:rPr>
              <w:t>Are decision rights, safeguards, independent review, monitoring, and authority to stop defined?</w:t>
            </w:r>
          </w:p>
        </w:tc>
        <w:tc>
          <w:tcPr>
            <w:tcW w:type="dxa" w:w="2520"/>
            <w:vAlign w:val="top"/>
          </w:tcPr>
          <w:p>
            <w:r>
              <w:rPr>
                <w:sz w:val="17"/>
              </w:rPr>
              <w:t>3</w:t>
            </w:r>
          </w:p>
        </w:tc>
        <w:tc>
          <w:tcPr>
            <w:tcW w:type="dxa" w:w="2520"/>
            <w:vAlign w:val="top"/>
          </w:tcPr>
          <w:p>
            <w:r>
              <w:rPr>
                <w:sz w:val="17"/>
              </w:rPr>
              <w:t>Health economist</w:t>
            </w:r>
          </w:p>
        </w:tc>
      </w:tr>
      <w:tr>
        <w:tc>
          <w:tcPr>
            <w:tcW w:type="dxa" w:w="2520"/>
            <w:vAlign w:val="top"/>
            <w:shd w:fill="EFEFEF"/>
          </w:tcPr>
          <w:p>
            <w:r>
              <w:rPr>
                <w:sz w:val="17"/>
              </w:rPr>
              <w:t>Procurement and vendor readiness</w:t>
            </w:r>
          </w:p>
        </w:tc>
        <w:tc>
          <w:tcPr>
            <w:tcW w:type="dxa" w:w="2520"/>
            <w:vAlign w:val="top"/>
          </w:tcPr>
          <w:p>
            <w:r>
              <w:rPr>
                <w:sz w:val="17"/>
              </w:rPr>
              <w:t>Can evidence, audit, updates, data rights, support, pricing, portability, and exit be contracted?</w:t>
            </w:r>
          </w:p>
        </w:tc>
        <w:tc>
          <w:tcPr>
            <w:tcW w:type="dxa" w:w="2520"/>
            <w:vAlign w:val="top"/>
          </w:tcPr>
          <w:p>
            <w:r>
              <w:rPr>
                <w:sz w:val="17"/>
              </w:rPr>
              <w:t>3</w:t>
            </w:r>
          </w:p>
        </w:tc>
        <w:tc>
          <w:tcPr>
            <w:tcW w:type="dxa" w:w="2520"/>
            <w:vAlign w:val="top"/>
          </w:tcPr>
          <w:p>
            <w:r>
              <w:rPr>
                <w:sz w:val="17"/>
              </w:rPr>
              <w:t>Procurement lead</w:t>
            </w:r>
          </w:p>
        </w:tc>
      </w:tr>
      <w:tr>
        <w:tc>
          <w:tcPr>
            <w:tcW w:type="dxa" w:w="2520"/>
            <w:vAlign w:val="top"/>
            <w:shd w:fill="EFEFEF"/>
          </w:tcPr>
          <w:p>
            <w:r>
              <w:rPr>
                <w:sz w:val="17"/>
              </w:rPr>
              <w:t>Circularity and sustainability</w:t>
            </w:r>
          </w:p>
        </w:tc>
        <w:tc>
          <w:tcPr>
            <w:tcW w:type="dxa" w:w="2520"/>
            <w:vAlign w:val="top"/>
          </w:tcPr>
          <w:p>
            <w:r>
              <w:rPr>
                <w:sz w:val="17"/>
              </w:rPr>
              <w:t>Are resource demand, asset life, maintenance, take-back, residual value, and disposition considered where material?</w:t>
            </w:r>
          </w:p>
        </w:tc>
        <w:tc>
          <w:tcPr>
            <w:tcW w:type="dxa" w:w="2520"/>
            <w:vAlign w:val="top"/>
          </w:tcPr>
          <w:p>
            <w:r>
              <w:rPr>
                <w:sz w:val="17"/>
              </w:rPr>
              <w:t>3</w:t>
            </w:r>
          </w:p>
        </w:tc>
        <w:tc>
          <w:tcPr>
            <w:tcW w:type="dxa" w:w="2520"/>
            <w:vAlign w:val="top"/>
          </w:tcPr>
          <w:p>
            <w:r>
              <w:rPr>
                <w:sz w:val="17"/>
              </w:rPr>
              <w:t>Clinical service lead</w:t>
            </w:r>
          </w:p>
        </w:tc>
      </w:tr>
    </w:tbl>
    <w:sectPr w:rsidR="00FC693F" w:rsidRPr="0006063C" w:rsidSect="00034616">
      <w:footerReference w:type="default" r:id="rId9"/>
      <w:head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AIHE-A03 template and worked example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