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AIHE-A03 - Institutional Readiness Assessment</w:t>
      </w:r>
    </w:p>
    <w:p>
      <w:r>
        <w:rPr>
          <w:b/>
        </w:rPr>
        <w:t>Chapter 2: Institutional Readiness and Digital Foundations</w:t>
      </w:r>
    </w:p>
    <w:p>
      <w:r>
        <w:t>Assess strategic, data, infrastructure, workflow, workforce, quality, economic, governance, procurement, and sustainability readiness.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AIHE-A03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Use-case readiness</w:t>
            </w:r>
          </w:p>
        </w:tc>
        <w:tc>
          <w:tcPr>
            <w:tcW w:type="dxa" w:w="2556"/>
            <w:vAlign w:val="top"/>
          </w:tcPr>
          <w:p>
            <w:r>
              <w:t>Application, intended use, setting, and consequence of failure</w:t>
            </w:r>
          </w:p>
        </w:tc>
        <w:tc>
          <w:tcPr>
            <w:tcW w:type="dxa" w:w="2556"/>
            <w:vAlign w:val="top"/>
          </w:tcPr>
          <w:p>
            <w:r>
              <w:t>Readiness is specific to a defined use.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Critical dependency</w:t>
            </w:r>
          </w:p>
        </w:tc>
        <w:tc>
          <w:tcPr>
            <w:tcW w:type="dxa" w:w="2556"/>
            <w:vAlign w:val="top"/>
          </w:tcPr>
          <w:p>
            <w:r>
              <w:t>Source system, interface, data, infrastructure, workforce, governance, or downstream service</w:t>
            </w:r>
          </w:p>
        </w:tc>
        <w:tc>
          <w:tcPr>
            <w:tcW w:type="dxa" w:w="2556"/>
            <w:vAlign w:val="top"/>
          </w:tcPr>
          <w:p>
            <w:r>
              <w:t>List dependencies individually.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Assessment</w:t>
            </w:r>
          </w:p>
        </w:tc>
        <w:tc>
          <w:tcPr>
            <w:tcW w:type="dxa" w:w="2556"/>
            <w:vAlign w:val="top"/>
          </w:tcPr>
          <w:p>
            <w:r>
              <w:t>Current adequacy and supporting evidence</w:t>
            </w:r>
          </w:p>
        </w:tc>
        <w:tc>
          <w:tcPr>
            <w:tcW w:type="dxa" w:w="2556"/>
            <w:vAlign w:val="top"/>
          </w:tcPr>
          <w:p>
            <w:r>
              <w:t>Do not average critical weaknesses into a single score.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Limitation</w:t>
            </w:r>
          </w:p>
        </w:tc>
        <w:tc>
          <w:tcPr>
            <w:tcW w:type="dxa" w:w="2556"/>
            <w:vAlign w:val="top"/>
          </w:tcPr>
          <w:p>
            <w:r>
              <w:t>Unresolved limitation and consequence</w:t>
            </w:r>
          </w:p>
        </w:tc>
        <w:tc>
          <w:tcPr>
            <w:tcW w:type="dxa" w:w="2556"/>
            <w:vAlign w:val="top"/>
          </w:tcPr>
          <w:p>
            <w:r>
              <w:t>State what remains uncertain.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Response</w:t>
            </w:r>
          </w:p>
        </w:tc>
        <w:tc>
          <w:tcPr>
            <w:tcW w:type="dxa" w:w="2556"/>
            <w:vAlign w:val="top"/>
          </w:tcPr>
          <w:p>
            <w:r>
              <w:t>Remediate before deployment, examine in pilot, defer, or reject</w:t>
            </w:r>
          </w:p>
        </w:tc>
        <w:tc>
          <w:tcPr>
            <w:tcW w:type="dxa" w:w="2556"/>
            <w:vAlign w:val="top"/>
          </w:tcPr>
          <w:p>
            <w:r>
              <w:t>Distinguish remediable gaps from unacceptable conditions.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Ownership</w:t>
            </w:r>
          </w:p>
        </w:tc>
        <w:tc>
          <w:tcPr>
            <w:tcW w:type="dxa" w:w="2556"/>
            <w:vAlign w:val="top"/>
          </w:tcPr>
          <w:p>
            <w:r>
              <w:t>Responsible owner and completion date</w:t>
            </w:r>
          </w:p>
        </w:tc>
        <w:tc>
          <w:tcPr>
            <w:tcW w:type="dxa" w:w="2556"/>
            <w:vAlign w:val="top"/>
          </w:tcPr>
          <w:p>
            <w:r>
              <w:t>Assign each action.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Readiness decision</w:t>
            </w:r>
          </w:p>
        </w:tc>
        <w:tc>
          <w:tcPr>
            <w:tcW w:type="dxa" w:w="2556"/>
            <w:vAlign w:val="top"/>
          </w:tcPr>
          <w:p>
            <w:r>
              <w:t>Proceed, conditional proceed, limited pilot, remediate, defer, or do not proceed</w:t>
            </w:r>
          </w:p>
        </w:tc>
        <w:tc>
          <w:tcPr>
            <w:tcW w:type="dxa" w:w="2556"/>
            <w:vAlign w:val="top"/>
          </w:tcPr>
          <w:p>
            <w:r>
              <w:t>State conditions and next review.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AIHE-A03 - Institutional Readiness Assessment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