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Data Source, Provenance, and Fitness Record</w:t>
      </w:r>
    </w:p>
    <w:p>
      <w:pPr>
        <w:jc w:val="centre"/>
      </w:pPr>
      <w:r>
        <w:rPr>
          <w:b/>
          <w:color w:val="7A2334"/>
        </w:rPr>
        <w:t>AIHE-A04</w:t>
      </w:r>
    </w:p>
    <w:p>
      <w:pPr>
        <w:spacing w:after="40"/>
      </w:pPr>
      <w:r>
        <w:rPr>
          <w:b/>
        </w:rPr>
        <w:t xml:space="preserve">Primary chapter: </w:t>
      </w:r>
      <w:r>
        <w:t>2 — Institutional Readiness and Digital Foundations</w:t>
      </w:r>
    </w:p>
    <w:p>
      <w:pPr>
        <w:spacing w:after="40"/>
      </w:pPr>
      <w:r>
        <w:rPr>
          <w:b/>
        </w:rPr>
        <w:t xml:space="preserve">Additional chapter alignment: </w:t>
      </w:r>
      <w:r>
        <w:t>2, 8, 11, 12</w:t>
      </w:r>
    </w:p>
    <w:p>
      <w:pPr>
        <w:spacing w:after="40"/>
      </w:pPr>
      <w:r>
        <w:rPr>
          <w:b/>
        </w:rPr>
        <w:t xml:space="preserve">Legacy aliases: </w:t>
      </w:r>
      <w:r>
        <w:t>AIHE-EX03, AIHE-Y, AIHE-U</w:t>
      </w:r>
    </w:p>
    <w:p>
      <w:pPr>
        <w:spacing w:after="40"/>
      </w:pPr>
      <w:r>
        <w:rPr>
          <w:b/>
        </w:rPr>
        <w:t xml:space="preserve">Version: </w:t>
      </w:r>
      <w:r>
        <w:t>V1.0</w:t>
      </w:r>
    </w:p>
    <w:p>
      <w:pPr>
        <w:pStyle w:val="Heading1"/>
      </w:pPr>
      <w:r>
        <w:t>Purpose</w:t>
      </w:r>
    </w:p>
    <w:p>
      <w:r>
        <w:t>Document source and derived data assets, authority, definitions, transformations, quality, lineage, monitoring, and remediation.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7A2334"/>
          </w:tcPr>
          <w:p>
            <w:r>
              <w:rPr>
                <w:b/>
                <w:color w:val="FFFFFF"/>
                <w:sz w:val="15"/>
              </w:rPr>
              <w:t>Source or derived asset</w:t>
            </w:r>
          </w:p>
        </w:tc>
        <w:tc>
          <w:tcPr>
            <w:tcW w:type="dxa" w:w="2179"/>
            <w:shd w:fill="7A2334"/>
          </w:tcPr>
          <w:p>
            <w:r>
              <w:rPr>
                <w:b/>
                <w:color w:val="FFFFFF"/>
                <w:sz w:val="15"/>
              </w:rPr>
              <w:t>Purpose and required timing</w:t>
            </w:r>
          </w:p>
        </w:tc>
        <w:tc>
          <w:tcPr>
            <w:tcW w:type="dxa" w:w="2179"/>
            <w:shd w:fill="7A2334"/>
          </w:tcPr>
          <w:p>
            <w:r>
              <w:rPr>
                <w:b/>
                <w:color w:val="FFFFFF"/>
                <w:sz w:val="15"/>
              </w:rPr>
              <w:t>Authority and steward</w:t>
            </w:r>
          </w:p>
        </w:tc>
        <w:tc>
          <w:tcPr>
            <w:tcW w:type="dxa" w:w="2179"/>
            <w:shd w:fill="7A2334"/>
          </w:tcPr>
          <w:p>
            <w:r>
              <w:rPr>
                <w:b/>
                <w:color w:val="FFFFFF"/>
                <w:sz w:val="15"/>
              </w:rPr>
              <w:t>Definition, units, and transformations</w:t>
            </w:r>
          </w:p>
        </w:tc>
        <w:tc>
          <w:tcPr>
            <w:tcW w:type="dxa" w:w="2179"/>
            <w:shd w:fill="7A2334"/>
          </w:tcPr>
          <w:p>
            <w:r>
              <w:rPr>
                <w:b/>
                <w:color w:val="FFFFFF"/>
                <w:sz w:val="15"/>
              </w:rPr>
              <w:t>Completeness, plausibility, and representativeness</w:t>
            </w:r>
          </w:p>
        </w:tc>
        <w:tc>
          <w:tcPr>
            <w:tcW w:type="dxa" w:w="2179"/>
            <w:shd w:fill="7A2334"/>
          </w:tcPr>
          <w:p>
            <w:r>
              <w:rPr>
                <w:b/>
                <w:color w:val="FFFFFF"/>
                <w:sz w:val="15"/>
              </w:rPr>
              <w:t>Lineage, version, and monitoring</w:t>
            </w:r>
          </w:p>
        </w:tc>
        <w:tc>
          <w:tcPr>
            <w:tcW w:type="dxa" w:w="2179"/>
            <w:shd w:fill="7A2334"/>
          </w:tcPr>
          <w:p>
            <w:r>
              <w:rPr>
                <w:b/>
                <w:color w:val="FFFFFF"/>
                <w:sz w:val="15"/>
              </w:rPr>
              <w:t>Risk, remediation, and decision</w:t>
            </w:r>
          </w:p>
        </w:tc>
      </w:tr>
      <w:tr>
        <w:tc>
          <w:tcPr>
            <w:tcW w:type="dxa" w:w="2179"/>
            <w:vAlign w:val="top"/>
            <w:shd w:fill="F2E8EB"/>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52565A"/>
          </w:tcPr>
          <w:p>
            <w:r>
              <w:rPr>
                <w:b/>
                <w:color w:val="FFFFFF"/>
                <w:sz w:val="15"/>
              </w:rPr>
              <w:t>Source or derived asset</w:t>
            </w:r>
          </w:p>
        </w:tc>
        <w:tc>
          <w:tcPr>
            <w:tcW w:type="dxa" w:w="2179"/>
            <w:shd w:fill="52565A"/>
          </w:tcPr>
          <w:p>
            <w:r>
              <w:rPr>
                <w:b/>
                <w:color w:val="FFFFFF"/>
                <w:sz w:val="15"/>
              </w:rPr>
              <w:t>Purpose and required timing</w:t>
            </w:r>
          </w:p>
        </w:tc>
        <w:tc>
          <w:tcPr>
            <w:tcW w:type="dxa" w:w="2179"/>
            <w:shd w:fill="52565A"/>
          </w:tcPr>
          <w:p>
            <w:r>
              <w:rPr>
                <w:b/>
                <w:color w:val="FFFFFF"/>
                <w:sz w:val="15"/>
              </w:rPr>
              <w:t>Authority and steward</w:t>
            </w:r>
          </w:p>
        </w:tc>
        <w:tc>
          <w:tcPr>
            <w:tcW w:type="dxa" w:w="2179"/>
            <w:shd w:fill="52565A"/>
          </w:tcPr>
          <w:p>
            <w:r>
              <w:rPr>
                <w:b/>
                <w:color w:val="FFFFFF"/>
                <w:sz w:val="15"/>
              </w:rPr>
              <w:t>Definition, units, and transformations</w:t>
            </w:r>
          </w:p>
        </w:tc>
        <w:tc>
          <w:tcPr>
            <w:tcW w:type="dxa" w:w="2179"/>
            <w:shd w:fill="52565A"/>
          </w:tcPr>
          <w:p>
            <w:r>
              <w:rPr>
                <w:b/>
                <w:color w:val="FFFFFF"/>
                <w:sz w:val="15"/>
              </w:rPr>
              <w:t>Completeness, plausibility, and representativeness</w:t>
            </w:r>
          </w:p>
        </w:tc>
        <w:tc>
          <w:tcPr>
            <w:tcW w:type="dxa" w:w="2179"/>
            <w:shd w:fill="52565A"/>
          </w:tcPr>
          <w:p>
            <w:r>
              <w:rPr>
                <w:b/>
                <w:color w:val="FFFFFF"/>
                <w:sz w:val="15"/>
              </w:rPr>
              <w:t>Lineage, version, and monitoring</w:t>
            </w:r>
          </w:p>
        </w:tc>
        <w:tc>
          <w:tcPr>
            <w:tcW w:type="dxa" w:w="2179"/>
            <w:shd w:fill="52565A"/>
          </w:tcPr>
          <w:p>
            <w:r>
              <w:rPr>
                <w:b/>
                <w:color w:val="FFFFFF"/>
                <w:sz w:val="15"/>
              </w:rPr>
              <w:t>Risk, remediation, and decision</w:t>
            </w:r>
          </w:p>
        </w:tc>
      </w:tr>
      <w:tr>
        <w:tc>
          <w:tcPr>
            <w:tcW w:type="dxa" w:w="2179"/>
            <w:vAlign w:val="top"/>
            <w:shd w:fill="EFEFEF"/>
          </w:tcPr>
          <w:p>
            <w:r>
              <w:rPr>
                <w:sz w:val="14"/>
              </w:rPr>
              <w:t>Emergency-department encounter feed</w:t>
            </w:r>
          </w:p>
        </w:tc>
        <w:tc>
          <w:tcPr>
            <w:tcW w:type="dxa" w:w="2179"/>
            <w:vAlign w:val="top"/>
          </w:tcPr>
          <w:p>
            <w:r>
              <w:rPr>
                <w:sz w:val="14"/>
              </w:rPr>
              <w:t>Support the defined institutional decision and monitoring requirement.</w:t>
            </w:r>
          </w:p>
        </w:tc>
        <w:tc>
          <w:tcPr>
            <w:tcW w:type="dxa" w:w="2179"/>
            <w:vAlign w:val="top"/>
          </w:tcPr>
          <w:p>
            <w:r>
              <w:rPr>
                <w:sz w:val="14"/>
              </w:rPr>
              <w:t>Clinical service lead</w:t>
            </w:r>
          </w:p>
        </w:tc>
        <w:tc>
          <w:tcPr>
            <w:tcW w:type="dxa" w:w="2179"/>
            <w:vAlign w:val="top"/>
          </w:tcPr>
          <w:p>
            <w:r>
              <w:rPr>
                <w:sz w:val="14"/>
              </w:rPr>
              <w:t>Emergency-department encounter feed: monthly rate per 1,000 eligible encounters.</w:t>
            </w:r>
          </w:p>
        </w:tc>
        <w:tc>
          <w:tcPr>
            <w:tcW w:type="dxa" w:w="2179"/>
            <w:vAlign w:val="top"/>
          </w:tcPr>
          <w:p>
            <w:r>
              <w:rPr>
                <w:sz w:val="14"/>
              </w:rPr>
              <w:t>Synthetic example for Emergency-department encounter feed; replace with local evidence.</w:t>
            </w:r>
          </w:p>
        </w:tc>
        <w:tc>
          <w:tcPr>
            <w:tcW w:type="dxa" w:w="2179"/>
            <w:vAlign w:val="top"/>
          </w:tcPr>
          <w:p>
            <w:r>
              <w:rPr>
                <w:sz w:val="14"/>
              </w:rPr>
              <w:t>Synthetic example for Emergency-department encounter feed; replace with local evidence.</w:t>
            </w:r>
          </w:p>
        </w:tc>
        <w:tc>
          <w:tcPr>
            <w:tcW w:type="dxa" w:w="2179"/>
            <w:vAlign w:val="top"/>
          </w:tcPr>
          <w:p>
            <w:r>
              <w:rPr>
                <w:sz w:val="14"/>
              </w:rPr>
              <w:t>Moderate residual risk; remediate before scale and review monthly during pilot.</w:t>
            </w:r>
          </w:p>
        </w:tc>
      </w:tr>
      <w:tr>
        <w:tc>
          <w:tcPr>
            <w:tcW w:type="dxa" w:w="2179"/>
            <w:vAlign w:val="top"/>
            <w:shd w:fill="EFEFEF"/>
          </w:tcPr>
          <w:p>
            <w:r>
              <w:rPr>
                <w:sz w:val="14"/>
              </w:rPr>
              <w:t>Laboratory result feed</w:t>
            </w:r>
          </w:p>
        </w:tc>
        <w:tc>
          <w:tcPr>
            <w:tcW w:type="dxa" w:w="2179"/>
            <w:vAlign w:val="top"/>
          </w:tcPr>
          <w:p>
            <w:r>
              <w:rPr>
                <w:sz w:val="14"/>
              </w:rPr>
              <w:t>Support the defined institutional decision and monitoring requirement.</w:t>
            </w:r>
          </w:p>
        </w:tc>
        <w:tc>
          <w:tcPr>
            <w:tcW w:type="dxa" w:w="2179"/>
            <w:vAlign w:val="top"/>
          </w:tcPr>
          <w:p>
            <w:r>
              <w:rPr>
                <w:sz w:val="14"/>
              </w:rPr>
              <w:t>Quality lead</w:t>
            </w:r>
          </w:p>
        </w:tc>
        <w:tc>
          <w:tcPr>
            <w:tcW w:type="dxa" w:w="2179"/>
            <w:vAlign w:val="top"/>
          </w:tcPr>
          <w:p>
            <w:r>
              <w:rPr>
                <w:sz w:val="14"/>
              </w:rPr>
              <w:t>Laboratory result feed: monthly rate per 1,000 eligible encounters.</w:t>
            </w:r>
          </w:p>
        </w:tc>
        <w:tc>
          <w:tcPr>
            <w:tcW w:type="dxa" w:w="2179"/>
            <w:vAlign w:val="top"/>
          </w:tcPr>
          <w:p>
            <w:r>
              <w:rPr>
                <w:sz w:val="14"/>
              </w:rPr>
              <w:t>Synthetic example for Laboratory result feed; replace with local evidence.</w:t>
            </w:r>
          </w:p>
        </w:tc>
        <w:tc>
          <w:tcPr>
            <w:tcW w:type="dxa" w:w="2179"/>
            <w:vAlign w:val="top"/>
          </w:tcPr>
          <w:p>
            <w:r>
              <w:rPr>
                <w:sz w:val="14"/>
              </w:rPr>
              <w:t>Synthetic example for Laboratory result feed; replace with local evidence.</w:t>
            </w:r>
          </w:p>
        </w:tc>
        <w:tc>
          <w:tcPr>
            <w:tcW w:type="dxa" w:w="2179"/>
            <w:vAlign w:val="top"/>
          </w:tcPr>
          <w:p>
            <w:r>
              <w:rPr>
                <w:sz w:val="14"/>
              </w:rPr>
              <w:t>Moderate residual risk; remediate before scale and review monthly during pilot.</w:t>
            </w:r>
          </w:p>
        </w:tc>
      </w:tr>
      <w:tr>
        <w:tc>
          <w:tcPr>
            <w:tcW w:type="dxa" w:w="2179"/>
            <w:vAlign w:val="top"/>
            <w:shd w:fill="EFEFEF"/>
          </w:tcPr>
          <w:p>
            <w:r>
              <w:rPr>
                <w:sz w:val="14"/>
              </w:rPr>
              <w:t>Derived risk score</w:t>
            </w:r>
          </w:p>
        </w:tc>
        <w:tc>
          <w:tcPr>
            <w:tcW w:type="dxa" w:w="2179"/>
            <w:vAlign w:val="top"/>
          </w:tcPr>
          <w:p>
            <w:r>
              <w:rPr>
                <w:sz w:val="14"/>
              </w:rPr>
              <w:t>Support the defined institutional decision and monitoring requirement.</w:t>
            </w:r>
          </w:p>
        </w:tc>
        <w:tc>
          <w:tcPr>
            <w:tcW w:type="dxa" w:w="2179"/>
            <w:vAlign w:val="top"/>
          </w:tcPr>
          <w:p>
            <w:r>
              <w:rPr>
                <w:sz w:val="14"/>
              </w:rPr>
              <w:t>Data steward</w:t>
            </w:r>
          </w:p>
        </w:tc>
        <w:tc>
          <w:tcPr>
            <w:tcW w:type="dxa" w:w="2179"/>
            <w:vAlign w:val="top"/>
          </w:tcPr>
          <w:p>
            <w:r>
              <w:rPr>
                <w:sz w:val="14"/>
              </w:rPr>
              <w:t>Derived risk score: monthly rate per 1,000 eligible encounters.</w:t>
            </w:r>
          </w:p>
        </w:tc>
        <w:tc>
          <w:tcPr>
            <w:tcW w:type="dxa" w:w="2179"/>
            <w:vAlign w:val="top"/>
          </w:tcPr>
          <w:p>
            <w:r>
              <w:rPr>
                <w:sz w:val="14"/>
              </w:rPr>
              <w:t>Synthetic example for Derived risk score; replace with local evidence.</w:t>
            </w:r>
          </w:p>
        </w:tc>
        <w:tc>
          <w:tcPr>
            <w:tcW w:type="dxa" w:w="2179"/>
            <w:vAlign w:val="top"/>
          </w:tcPr>
          <w:p>
            <w:r>
              <w:rPr>
                <w:sz w:val="14"/>
              </w:rPr>
              <w:t>Synthetic example for Derived risk score; replace with local evidence.</w:t>
            </w:r>
          </w:p>
        </w:tc>
        <w:tc>
          <w:tcPr>
            <w:tcW w:type="dxa" w:w="2179"/>
            <w:vAlign w:val="top"/>
          </w:tcPr>
          <w:p>
            <w:r>
              <w:rPr>
                <w:sz w:val="14"/>
              </w:rPr>
              <w:t>Moderate residual risk; remediate before scale and review monthly during pilot.</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