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AIHE-A04 - Data Source, Provenance, and Fitness Record</w:t>
      </w:r>
    </w:p>
    <w:p>
      <w:r>
        <w:rPr>
          <w:b/>
        </w:rPr>
        <w:t>Chapter 2: Institutional Readiness and Digital Foundations</w:t>
      </w:r>
    </w:p>
    <w:p>
      <w:r>
        <w:t>Document source and derived data assets, authority, definitions, transformations, quality, lineage, monitoring, and remediation.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AIHE-A04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Data identity</w:t>
            </w:r>
          </w:p>
        </w:tc>
        <w:tc>
          <w:tcPr>
            <w:tcW w:type="dxa" w:w="2556"/>
            <w:vAlign w:val="top"/>
          </w:tcPr>
          <w:p>
            <w:r>
              <w:t>Source, owner, purpose, population, time period, and version</w:t>
            </w:r>
          </w:p>
        </w:tc>
        <w:tc>
          <w:tcPr>
            <w:tcW w:type="dxa" w:w="2556"/>
            <w:vAlign w:val="top"/>
          </w:tcPr>
          <w:p>
            <w:r>
              <w:t>Create a stable record of the data used.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Provenance</w:t>
            </w:r>
          </w:p>
        </w:tc>
        <w:tc>
          <w:tcPr>
            <w:tcW w:type="dxa" w:w="2556"/>
            <w:vAlign w:val="top"/>
          </w:tcPr>
          <w:p>
            <w:r>
              <w:t>Origin, collection context, transformations, mappings, and derived artefacts</w:t>
            </w:r>
          </w:p>
        </w:tc>
        <w:tc>
          <w:tcPr>
            <w:tcW w:type="dxa" w:w="2556"/>
            <w:vAlign w:val="top"/>
          </w:tcPr>
          <w:p>
            <w:r>
              <w:t>Maintain lineage.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Fitness</w:t>
            </w:r>
          </w:p>
        </w:tc>
        <w:tc>
          <w:tcPr>
            <w:tcW w:type="dxa" w:w="2556"/>
            <w:vAlign w:val="top"/>
          </w:tcPr>
          <w:p>
            <w:r>
              <w:t>Completeness, accuracy, timeliness, consistency, plausibility, label validity, and stability</w:t>
            </w:r>
          </w:p>
        </w:tc>
        <w:tc>
          <w:tcPr>
            <w:tcW w:type="dxa" w:w="2556"/>
            <w:vAlign w:val="top"/>
          </w:tcPr>
          <w:p>
            <w:r>
              <w:t>Assess dimensions relevant to the intended use.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Representation</w:t>
            </w:r>
          </w:p>
        </w:tc>
        <w:tc>
          <w:tcPr>
            <w:tcW w:type="dxa" w:w="2556"/>
            <w:vAlign w:val="top"/>
          </w:tcPr>
          <w:p>
            <w:r>
              <w:t>Missing or underrepresented populations and consequences</w:t>
            </w:r>
          </w:p>
        </w:tc>
        <w:tc>
          <w:tcPr>
            <w:tcW w:type="dxa" w:w="2556"/>
            <w:vAlign w:val="top"/>
          </w:tcPr>
          <w:p>
            <w:r>
              <w:t>Include subgroup assessment.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Authority</w:t>
            </w:r>
          </w:p>
        </w:tc>
        <w:tc>
          <w:tcPr>
            <w:tcW w:type="dxa" w:w="2556"/>
            <w:vAlign w:val="top"/>
          </w:tcPr>
          <w:p>
            <w:r>
              <w:t>Legal and institutional basis, access conditions, minimization, and retention</w:t>
            </w:r>
          </w:p>
        </w:tc>
        <w:tc>
          <w:tcPr>
            <w:tcW w:type="dxa" w:w="2556"/>
            <w:vAlign w:val="top"/>
          </w:tcPr>
          <w:p>
            <w:r>
              <w:t>Document legitimate use.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Observability</w:t>
            </w:r>
          </w:p>
        </w:tc>
        <w:tc>
          <w:tcPr>
            <w:tcW w:type="dxa" w:w="2556"/>
            <w:vAlign w:val="top"/>
          </w:tcPr>
          <w:p>
            <w:r>
              <w:t>Pipeline-health indicators, latency, interface failure, and shift monitoring</w:t>
            </w:r>
          </w:p>
        </w:tc>
        <w:tc>
          <w:tcPr>
            <w:tcW w:type="dxa" w:w="2556"/>
            <w:vAlign w:val="top"/>
          </w:tcPr>
          <w:p>
            <w:r>
              <w:t>Distinguish data defects from model drift.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</w:t>
            </w:r>
          </w:p>
        </w:tc>
        <w:tc>
          <w:tcPr>
            <w:tcW w:type="dxa" w:w="2556"/>
            <w:vAlign w:val="top"/>
          </w:tcPr>
          <w:p>
            <w:r>
              <w:t>Fit, conditionally fit, remediation required, or not fit</w:t>
            </w:r>
          </w:p>
        </w:tc>
        <w:tc>
          <w:tcPr>
            <w:tcW w:type="dxa" w:w="2556"/>
            <w:vAlign w:val="top"/>
          </w:tcPr>
          <w:p>
            <w:r>
              <w:t>State restrictions and review triggers.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AIHE-A04 - Data Source, Provenance, and Fitness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