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AIHE-Y — Data Quality and Fitness-for-Purpose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AIHE-Y</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2: Institutional Readiness and Digital Foundations;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Dimension</w:t>
            </w:r>
          </w:p>
        </w:tc>
        <w:tc>
          <w:tcPr>
            <w:tcW w:type="dxa" w:w="2592"/>
            <w:vAlign w:val="centre"/>
            <w:tcMar>
              <w:top w:w="80" w:type="dxa"/>
              <w:start w:w="80" w:type="dxa"/>
              <w:bottom w:w="80" w:type="dxa"/>
              <w:end w:w="80" w:type="dxa"/>
            </w:tcMar>
            <w:shd w:fill="D9EAF7"/>
          </w:tcPr>
          <w:p>
            <w:r>
              <w:rPr>
                <w:b/>
              </w:rPr>
              <w:t>Assessment question</w:t>
            </w:r>
          </w:p>
        </w:tc>
        <w:tc>
          <w:tcPr>
            <w:tcW w:type="dxa" w:w="2592"/>
            <w:vAlign w:val="centre"/>
            <w:tcMar>
              <w:top w:w="80" w:type="dxa"/>
              <w:start w:w="80" w:type="dxa"/>
              <w:bottom w:w="80" w:type="dxa"/>
              <w:end w:w="80" w:type="dxa"/>
            </w:tcMar>
            <w:shd w:fill="D9EAF7"/>
          </w:tcPr>
          <w:p>
            <w:r>
              <w:rPr>
                <w:b/>
              </w:rPr>
              <w:t>Finding</w:t>
            </w:r>
          </w:p>
        </w:tc>
        <w:tc>
          <w:tcPr>
            <w:tcW w:type="dxa" w:w="2592"/>
            <w:vAlign w:val="centre"/>
            <w:tcMar>
              <w:top w:w="80" w:type="dxa"/>
              <w:start w:w="80" w:type="dxa"/>
              <w:bottom w:w="80" w:type="dxa"/>
              <w:end w:w="80" w:type="dxa"/>
            </w:tcMar>
            <w:shd w:fill="D9EAF7"/>
          </w:tcPr>
          <w:p>
            <w:r>
              <w:rPr>
                <w:b/>
              </w:rPr>
              <w:t>Action required</w:t>
            </w:r>
          </w:p>
        </w:tc>
      </w:tr>
      <w:tr>
        <w:tc>
          <w:tcPr>
            <w:tcW w:type="dxa" w:w="2592"/>
            <w:vAlign w:val="centre"/>
            <w:tcMar>
              <w:top w:w="80" w:type="dxa"/>
              <w:start w:w="80" w:type="dxa"/>
              <w:bottom w:w="80" w:type="dxa"/>
              <w:end w:w="80" w:type="dxa"/>
            </w:tcMar>
          </w:tcPr>
          <w:p>
            <w:r>
              <w:t>Completeness</w:t>
            </w:r>
          </w:p>
        </w:tc>
        <w:tc>
          <w:tcPr>
            <w:tcW w:type="dxa" w:w="2592"/>
            <w:vAlign w:val="centre"/>
            <w:tcMar>
              <w:top w:w="80" w:type="dxa"/>
              <w:start w:w="80" w:type="dxa"/>
              <w:bottom w:w="80" w:type="dxa"/>
              <w:end w:w="80" w:type="dxa"/>
            </w:tcMar>
            <w:shd w:fill="FFF2CC"/>
          </w:tcPr>
          <w:p>
            <w:sdt>
              <w:sdtPr>
                <w:tag w:val="AIHE_Y_F001"/>
                <w:alias w:val="AIHE_Y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2"/>
                <w:alias w:val="AIHE_Y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3"/>
                <w:alias w:val="AIHE_Y_F003"/>
                <w:text/>
              </w:sdtPr>
              <w:sdtContent>
                <w:r>
                  <w:t>Click or tap here to enter text.</w:t>
                </w:r>
              </w:sdtContent>
            </w:sdt>
          </w:p>
        </w:tc>
      </w:tr>
      <w:tr>
        <w:tc>
          <w:tcPr>
            <w:tcW w:type="dxa" w:w="2592"/>
            <w:vAlign w:val="centre"/>
            <w:tcMar>
              <w:top w:w="80" w:type="dxa"/>
              <w:start w:w="80" w:type="dxa"/>
              <w:bottom w:w="80" w:type="dxa"/>
              <w:end w:w="80" w:type="dxa"/>
            </w:tcMar>
          </w:tcPr>
          <w:p>
            <w:r>
              <w:t>Accuracy</w:t>
            </w:r>
          </w:p>
        </w:tc>
        <w:tc>
          <w:tcPr>
            <w:tcW w:type="dxa" w:w="2592"/>
            <w:vAlign w:val="centre"/>
            <w:tcMar>
              <w:top w:w="80" w:type="dxa"/>
              <w:start w:w="80" w:type="dxa"/>
              <w:bottom w:w="80" w:type="dxa"/>
              <w:end w:w="80" w:type="dxa"/>
            </w:tcMar>
            <w:shd w:fill="FFF2CC"/>
          </w:tcPr>
          <w:p>
            <w:sdt>
              <w:sdtPr>
                <w:tag w:val="AIHE_Y_F004"/>
                <w:alias w:val="AIHE_Y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5"/>
                <w:alias w:val="AIHE_Y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6"/>
                <w:alias w:val="AIHE_Y_F006"/>
                <w:text/>
              </w:sdtPr>
              <w:sdtContent>
                <w:r>
                  <w:t>Click or tap here to enter text.</w:t>
                </w:r>
              </w:sdtContent>
            </w:sdt>
          </w:p>
        </w:tc>
      </w:tr>
      <w:tr>
        <w:tc>
          <w:tcPr>
            <w:tcW w:type="dxa" w:w="2592"/>
            <w:vAlign w:val="centre"/>
            <w:tcMar>
              <w:top w:w="80" w:type="dxa"/>
              <w:start w:w="80" w:type="dxa"/>
              <w:bottom w:w="80" w:type="dxa"/>
              <w:end w:w="80" w:type="dxa"/>
            </w:tcMar>
          </w:tcPr>
          <w:p>
            <w:r>
              <w:t>Timeliness</w:t>
            </w:r>
          </w:p>
        </w:tc>
        <w:tc>
          <w:tcPr>
            <w:tcW w:type="dxa" w:w="2592"/>
            <w:vAlign w:val="centre"/>
            <w:tcMar>
              <w:top w:w="80" w:type="dxa"/>
              <w:start w:w="80" w:type="dxa"/>
              <w:bottom w:w="80" w:type="dxa"/>
              <w:end w:w="80" w:type="dxa"/>
            </w:tcMar>
            <w:shd w:fill="FFF2CC"/>
          </w:tcPr>
          <w:p>
            <w:sdt>
              <w:sdtPr>
                <w:tag w:val="AIHE_Y_F007"/>
                <w:alias w:val="AIHE_Y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8"/>
                <w:alias w:val="AIHE_Y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9"/>
                <w:alias w:val="AIHE_Y_F009"/>
                <w:text/>
              </w:sdtPr>
              <w:sdtContent>
                <w:r>
                  <w:t>Click or tap here to enter text.</w:t>
                </w:r>
              </w:sdtContent>
            </w:sdt>
          </w:p>
        </w:tc>
      </w:tr>
      <w:tr>
        <w:tc>
          <w:tcPr>
            <w:tcW w:type="dxa" w:w="2592"/>
            <w:vAlign w:val="centre"/>
            <w:tcMar>
              <w:top w:w="80" w:type="dxa"/>
              <w:start w:w="80" w:type="dxa"/>
              <w:bottom w:w="80" w:type="dxa"/>
              <w:end w:w="80" w:type="dxa"/>
            </w:tcMar>
          </w:tcPr>
          <w:p>
            <w:r>
              <w:t>Consistency</w:t>
            </w:r>
          </w:p>
        </w:tc>
        <w:tc>
          <w:tcPr>
            <w:tcW w:type="dxa" w:w="2592"/>
            <w:vAlign w:val="centre"/>
            <w:tcMar>
              <w:top w:w="80" w:type="dxa"/>
              <w:start w:w="80" w:type="dxa"/>
              <w:bottom w:w="80" w:type="dxa"/>
              <w:end w:w="80" w:type="dxa"/>
            </w:tcMar>
            <w:shd w:fill="FFF2CC"/>
          </w:tcPr>
          <w:p>
            <w:sdt>
              <w:sdtPr>
                <w:tag w:val="AIHE_Y_F010"/>
                <w:alias w:val="AIHE_Y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1"/>
                <w:alias w:val="AIHE_Y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2"/>
                <w:alias w:val="AIHE_Y_F012"/>
                <w:text/>
              </w:sdtPr>
              <w:sdtContent>
                <w:r>
                  <w:t>Click or tap here to enter text.</w:t>
                </w:r>
              </w:sdtContent>
            </w:sdt>
          </w:p>
        </w:tc>
      </w:tr>
      <w:tr>
        <w:tc>
          <w:tcPr>
            <w:tcW w:type="dxa" w:w="2592"/>
            <w:vAlign w:val="centre"/>
            <w:tcMar>
              <w:top w:w="80" w:type="dxa"/>
              <w:start w:w="80" w:type="dxa"/>
              <w:bottom w:w="80" w:type="dxa"/>
              <w:end w:w="80" w:type="dxa"/>
            </w:tcMar>
          </w:tcPr>
          <w:p>
            <w:r>
              <w:t>Representativeness</w:t>
            </w:r>
          </w:p>
        </w:tc>
        <w:tc>
          <w:tcPr>
            <w:tcW w:type="dxa" w:w="2592"/>
            <w:vAlign w:val="centre"/>
            <w:tcMar>
              <w:top w:w="80" w:type="dxa"/>
              <w:start w:w="80" w:type="dxa"/>
              <w:bottom w:w="80" w:type="dxa"/>
              <w:end w:w="80" w:type="dxa"/>
            </w:tcMar>
            <w:shd w:fill="FFF2CC"/>
          </w:tcPr>
          <w:p>
            <w:sdt>
              <w:sdtPr>
                <w:tag w:val="AIHE_Y_F013"/>
                <w:alias w:val="AIHE_Y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4"/>
                <w:alias w:val="AIHE_Y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5"/>
                <w:alias w:val="AIHE_Y_F015"/>
                <w:text/>
              </w:sdtPr>
              <w:sdtContent>
                <w:r>
                  <w:t>Click or tap here to enter text.</w:t>
                </w:r>
              </w:sdtContent>
            </w:sdt>
          </w:p>
        </w:tc>
      </w:tr>
      <w:tr>
        <w:tc>
          <w:tcPr>
            <w:tcW w:type="dxa" w:w="2592"/>
            <w:vAlign w:val="centre"/>
            <w:tcMar>
              <w:top w:w="80" w:type="dxa"/>
              <w:start w:w="80" w:type="dxa"/>
              <w:bottom w:w="80" w:type="dxa"/>
              <w:end w:w="80" w:type="dxa"/>
            </w:tcMar>
          </w:tcPr>
          <w:p>
            <w:r>
              <w:t>Linkage</w:t>
            </w:r>
          </w:p>
        </w:tc>
        <w:tc>
          <w:tcPr>
            <w:tcW w:type="dxa" w:w="2592"/>
            <w:vAlign w:val="centre"/>
            <w:tcMar>
              <w:top w:w="80" w:type="dxa"/>
              <w:start w:w="80" w:type="dxa"/>
              <w:bottom w:w="80" w:type="dxa"/>
              <w:end w:w="80" w:type="dxa"/>
            </w:tcMar>
            <w:shd w:fill="FFF2CC"/>
          </w:tcPr>
          <w:p>
            <w:sdt>
              <w:sdtPr>
                <w:tag w:val="AIHE_Y_F016"/>
                <w:alias w:val="AIHE_Y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7"/>
                <w:alias w:val="AIHE_Y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8"/>
                <w:alias w:val="AIHE_Y_F018"/>
                <w:text/>
              </w:sdtPr>
              <w:sdtContent>
                <w:r>
                  <w:t>Click or tap here to enter text.</w:t>
                </w:r>
              </w:sdtContent>
            </w:sdt>
          </w:p>
        </w:tc>
      </w:tr>
      <w:tr>
        <w:tc>
          <w:tcPr>
            <w:tcW w:type="dxa" w:w="2592"/>
            <w:vAlign w:val="centre"/>
            <w:tcMar>
              <w:top w:w="80" w:type="dxa"/>
              <w:start w:w="80" w:type="dxa"/>
              <w:bottom w:w="80" w:type="dxa"/>
              <w:end w:w="80" w:type="dxa"/>
            </w:tcMar>
          </w:tcPr>
          <w:p>
            <w:r>
              <w:t>Lineage</w:t>
            </w:r>
          </w:p>
        </w:tc>
        <w:tc>
          <w:tcPr>
            <w:tcW w:type="dxa" w:w="2592"/>
            <w:vAlign w:val="centre"/>
            <w:tcMar>
              <w:top w:w="80" w:type="dxa"/>
              <w:start w:w="80" w:type="dxa"/>
              <w:bottom w:w="80" w:type="dxa"/>
              <w:end w:w="80" w:type="dxa"/>
            </w:tcMar>
            <w:shd w:fill="FFF2CC"/>
          </w:tcPr>
          <w:p>
            <w:sdt>
              <w:sdtPr>
                <w:tag w:val="AIHE_Y_F019"/>
                <w:alias w:val="AIHE_Y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0"/>
                <w:alias w:val="AIHE_Y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1"/>
                <w:alias w:val="AIHE_Y_F021"/>
                <w:text/>
              </w:sdtPr>
              <w:sdtContent>
                <w:r>
                  <w:t>Click or tap here to enter text.</w:t>
                </w:r>
              </w:sdtContent>
            </w:sdt>
          </w:p>
        </w:tc>
      </w:tr>
      <w:tr>
        <w:tc>
          <w:tcPr>
            <w:tcW w:type="dxa" w:w="2592"/>
            <w:vAlign w:val="centre"/>
            <w:tcMar>
              <w:top w:w="80" w:type="dxa"/>
              <w:start w:w="80" w:type="dxa"/>
              <w:bottom w:w="80" w:type="dxa"/>
              <w:end w:w="80" w:type="dxa"/>
            </w:tcMar>
          </w:tcPr>
          <w:p>
            <w:r>
              <w:t>Bias</w:t>
            </w:r>
          </w:p>
        </w:tc>
        <w:tc>
          <w:tcPr>
            <w:tcW w:type="dxa" w:w="2592"/>
            <w:vAlign w:val="centre"/>
            <w:tcMar>
              <w:top w:w="80" w:type="dxa"/>
              <w:start w:w="80" w:type="dxa"/>
              <w:bottom w:w="80" w:type="dxa"/>
              <w:end w:w="80" w:type="dxa"/>
            </w:tcMar>
            <w:shd w:fill="FFF2CC"/>
          </w:tcPr>
          <w:p>
            <w:sdt>
              <w:sdtPr>
                <w:tag w:val="AIHE_Y_F022"/>
                <w:alias w:val="AIHE_Y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3"/>
                <w:alias w:val="AIHE_Y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4"/>
                <w:alias w:val="AIHE_Y_F024"/>
                <w:text/>
              </w:sdtPr>
              <w:sdtContent>
                <w:r>
                  <w:t>Click or tap here to enter text.</w:t>
                </w:r>
              </w:sdtContent>
            </w:sdt>
          </w:p>
        </w:tc>
      </w:tr>
    </w:tbl>
    <w:p/>
    <w:p>
      <w:pPr>
        <w:pStyle w:val="Heading1"/>
      </w:pPr>
      <w:r>
        <w:t>Decision and review record</w:t>
      </w:r>
    </w:p>
    <w:p>
      <w:r>
        <w:rPr>
          <w:b/>
        </w:rPr>
        <w:t xml:space="preserve">Overall conclusion: </w:t>
      </w:r>
      <w:sdt>
        <w:sdtPr>
          <w:tag w:val="AIHE_Y_F025"/>
          <w:alias w:val="AIHE_Y_F025"/>
          <w:text/>
        </w:sdtPr>
        <w:sdtContent>
          <w:r>
            <w:t>Click or tap here to enter text.</w:t>
          </w:r>
        </w:sdtContent>
      </w:sdt>
    </w:p>
    <w:p>
      <w:r>
        <w:rPr>
          <w:b/>
        </w:rPr>
        <w:t xml:space="preserve">Required conditions or remediation: </w:t>
      </w:r>
      <w:sdt>
        <w:sdtPr>
          <w:tag w:val="AIHE_Y_F026"/>
          <w:alias w:val="AIHE_Y_F026"/>
          <w:text/>
        </w:sdtPr>
        <w:sdtContent>
          <w:r>
            <w:t>Click or tap here to enter text.</w:t>
          </w:r>
        </w:sdtContent>
      </w:sdt>
    </w:p>
    <w:p>
      <w:r>
        <w:rPr>
          <w:b/>
        </w:rPr>
        <w:t xml:space="preserve">Accountable owner: </w:t>
      </w:r>
      <w:sdt>
        <w:sdtPr>
          <w:tag w:val="AIHE_Y_F027"/>
          <w:alias w:val="AIHE_Y_F027"/>
          <w:text/>
        </w:sdtPr>
        <w:sdtContent>
          <w:r>
            <w:t>Click or tap here to enter text.</w:t>
          </w:r>
        </w:sdtContent>
      </w:sdt>
    </w:p>
    <w:p>
      <w:r>
        <w:rPr>
          <w:b/>
        </w:rPr>
        <w:t xml:space="preserve">Approval date: </w:t>
      </w:r>
      <w:sdt>
        <w:sdtPr>
          <w:tag w:val="AIHE_Y_F028"/>
          <w:alias w:val="AIHE_Y_F028"/>
          <w:text/>
        </w:sdtPr>
        <w:sdtContent>
          <w:r>
            <w:t>Click or tap here to enter text.</w:t>
          </w:r>
        </w:sdtContent>
      </w:sdt>
    </w:p>
    <w:p>
      <w:r>
        <w:rPr>
          <w:b/>
        </w:rPr>
        <w:t xml:space="preserve">Next review date: </w:t>
      </w:r>
      <w:sdt>
        <w:sdtPr>
          <w:tag w:val="AIHE_Y_F029"/>
          <w:alias w:val="AIHE_Y_F029"/>
          <w:text/>
        </w:sdtPr>
        <w:sdtContent>
          <w:r>
            <w:t>Click or tap here to enter text.</w:t>
          </w:r>
        </w:sdtContent>
      </w:sdt>
    </w:p>
    <w:p>
      <w:r>
        <w:rPr>
          <w:b/>
        </w:rPr>
        <w:t xml:space="preserve">Version or change reference: </w:t>
      </w:r>
      <w:sdt>
        <w:sdtPr>
          <w:tag w:val="AIHE_Y_F030"/>
          <w:alias w:val="AIHE_Y_F03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AIHE-Y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