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AIHE-C04 - Human Oversight and Accountability Matrix</w:t>
      </w:r>
    </w:p>
    <w:p>
      <w:r>
        <w:rPr>
          <w:b/>
        </w:rPr>
        <w:t>Chapter 3: Human–AI Decision Systems and Managerial Action</w:t>
      </w:r>
    </w:p>
    <w:p>
      <w:r>
        <w:t>Assign accountability, responsibility, consultation, information, escalation, pause, update, restart, and retirement authority.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AIHE-C04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Decision architecture</w:t>
            </w:r>
          </w:p>
        </w:tc>
        <w:tc>
          <w:tcPr>
            <w:tcW w:type="dxa" w:w="2556"/>
            <w:vAlign w:val="top"/>
          </w:tcPr>
          <w:p>
            <w:r>
              <w:t>Context and evidence available to the decision-maker</w:t>
            </w:r>
          </w:p>
        </w:tc>
        <w:tc>
          <w:tcPr>
            <w:tcW w:type="dxa" w:w="2556"/>
            <w:vAlign w:val="top"/>
          </w:tcPr>
          <w:p>
            <w:r>
              <w:t>Specify what lies outside the AI output.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Decision architecture</w:t>
            </w:r>
          </w:p>
        </w:tc>
        <w:tc>
          <w:tcPr>
            <w:tcW w:type="dxa" w:w="2556"/>
            <w:vAlign w:val="top"/>
          </w:tcPr>
          <w:p>
            <w:r>
              <w:t>AI-generated signal, forecast, recommendation, or content</w:t>
            </w:r>
          </w:p>
        </w:tc>
        <w:tc>
          <w:tcPr>
            <w:tcW w:type="dxa" w:w="2556"/>
            <w:vAlign w:val="top"/>
          </w:tcPr>
          <w:p>
            <w:r>
              <w:t>Record model and configuration version.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Uncertainty</w:t>
            </w:r>
          </w:p>
        </w:tc>
        <w:tc>
          <w:tcPr>
            <w:tcW w:type="dxa" w:w="2556"/>
            <w:vAlign w:val="top"/>
          </w:tcPr>
          <w:p>
            <w:r>
              <w:t>Uncertainty, deferral rule, and limits of use</w:t>
            </w:r>
          </w:p>
        </w:tc>
        <w:tc>
          <w:tcPr>
            <w:tcW w:type="dxa" w:w="2556"/>
            <w:vAlign w:val="top"/>
          </w:tcPr>
          <w:p>
            <w:r>
              <w:t>Make ambiguity visible.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Human interpretation</w:t>
            </w:r>
          </w:p>
        </w:tc>
        <w:tc>
          <w:tcPr>
            <w:tcW w:type="dxa" w:w="2556"/>
            <w:vAlign w:val="top"/>
          </w:tcPr>
          <w:p>
            <w:r>
              <w:t>Required judgement, source information, and competence</w:t>
            </w:r>
          </w:p>
        </w:tc>
        <w:tc>
          <w:tcPr>
            <w:tcW w:type="dxa" w:w="2556"/>
            <w:vAlign w:val="top"/>
          </w:tcPr>
          <w:p>
            <w:r>
              <w:t>Define meaningful review.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Decision right</w:t>
            </w:r>
          </w:p>
        </w:tc>
        <w:tc>
          <w:tcPr>
            <w:tcW w:type="dxa" w:w="2556"/>
            <w:vAlign w:val="top"/>
          </w:tcPr>
          <w:p>
            <w:r>
              <w:t>Accept, modify, reject, defer, escalate, or interrupt</w:t>
            </w:r>
          </w:p>
        </w:tc>
        <w:tc>
          <w:tcPr>
            <w:tcW w:type="dxa" w:w="2556"/>
            <w:vAlign w:val="top"/>
          </w:tcPr>
          <w:p>
            <w:r>
              <w:t>State who may exercise each right.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Authority</w:t>
            </w:r>
          </w:p>
        </w:tc>
        <w:tc>
          <w:tcPr>
            <w:tcW w:type="dxa" w:w="2556"/>
            <w:vAlign w:val="top"/>
          </w:tcPr>
          <w:p>
            <w:r>
              <w:t>Responsible actor and escalation authority</w:t>
            </w:r>
          </w:p>
        </w:tc>
        <w:tc>
          <w:tcPr>
            <w:tcW w:type="dxa" w:w="2556"/>
            <w:vAlign w:val="top"/>
          </w:tcPr>
          <w:p>
            <w:r>
              <w:t>Connect judgement with authority.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Timing</w:t>
            </w:r>
          </w:p>
        </w:tc>
        <w:tc>
          <w:tcPr>
            <w:tcW w:type="dxa" w:w="2556"/>
            <w:vAlign w:val="top"/>
          </w:tcPr>
          <w:p>
            <w:r>
              <w:t>Signal, interpretation, and action latency</w:t>
            </w:r>
          </w:p>
        </w:tc>
        <w:tc>
          <w:tcPr>
            <w:tcW w:type="dxa" w:w="2556"/>
            <w:vAlign w:val="top"/>
          </w:tcPr>
          <w:p>
            <w:r>
              <w:t>Compare with the closing decision window.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Outcome and feedback</w:t>
            </w:r>
          </w:p>
        </w:tc>
        <w:tc>
          <w:tcPr>
            <w:tcW w:type="dxa" w:w="2556"/>
            <w:vAlign w:val="top"/>
          </w:tcPr>
          <w:p>
            <w:r>
              <w:t>Action, outcome, review, and learning</w:t>
            </w:r>
          </w:p>
        </w:tc>
        <w:tc>
          <w:tcPr>
            <w:tcW w:type="dxa" w:w="2556"/>
            <w:vAlign w:val="top"/>
          </w:tcPr>
          <w:p>
            <w:r>
              <w:t>Close the loop.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AIHE-C04 - Human Oversight and Accountability Matrix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