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AIHE-O — HOAM Accountability Workbook</w:t>
      </w:r>
    </w:p>
    <w:p>
      <w:r>
        <w:rPr>
          <w:rFonts w:ascii="Arial" w:hAnsi="Arial"/>
          <w:color w:val="595959"/>
          <w:sz w:val="17"/>
        </w:rPr>
        <w:t>Current digital location: Resource Set C — Quality, Accreditation, Governance, and Accountability.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AIHE-O</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10: Governance, Accountability, and Institutional Risk; Chapter 12: Decision Architecture and Lifecycle Governance;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Use HOAM to assign named human accountability before deployment. A = accountable for the decision; R = responsible for work; C = consulted; I = informed. Each activity should have one clearly identified accountable owner, even when responsibility is shared.</w:t>
      </w:r>
    </w:p>
    <w:p>
      <w:r>
        <w:t>Table O.1. HOAM responsibility assignment.</w:t>
      </w:r>
    </w:p>
    <w:p>
      <w:r>
        <w:t>Table O.2. HOAM escalation and authority record.</w:t>
      </w:r>
    </w:p>
    <w:p>
      <w:r>
        <w:t>Table O.3. HOAM governance summary.</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397"/>
        <w:gridCol w:w="1397"/>
        <w:gridCol w:w="1397"/>
        <w:gridCol w:w="1397"/>
        <w:gridCol w:w="1397"/>
        <w:gridCol w:w="1397"/>
        <w:gridCol w:w="1397"/>
        <w:gridCol w:w="1397"/>
        <w:gridCol w:w="1397"/>
        <w:gridCol w:w="1397"/>
      </w:tblGrid>
      <w:tr>
        <w:trPr>
          <w:tblHeader w:val="true"/>
        </w:trPr>
        <w:tc>
          <w:tcPr>
            <w:tcW w:type="dxa" w:w="1397"/>
            <w:vAlign w:val="centre"/>
            <w:tcMar>
              <w:top w:w="80" w:type="dxa"/>
              <w:start w:w="80" w:type="dxa"/>
              <w:bottom w:w="80" w:type="dxa"/>
              <w:end w:w="80" w:type="dxa"/>
            </w:tcMar>
            <w:shd w:fill="D9EAF7"/>
          </w:tcPr>
          <w:p>
            <w:r>
              <w:rPr>
                <w:b/>
              </w:rPr>
              <w:t>Activity</w:t>
            </w:r>
          </w:p>
        </w:tc>
        <w:tc>
          <w:tcPr>
            <w:tcW w:type="dxa" w:w="1397"/>
            <w:vAlign w:val="centre"/>
            <w:tcMar>
              <w:top w:w="80" w:type="dxa"/>
              <w:start w:w="80" w:type="dxa"/>
              <w:bottom w:w="80" w:type="dxa"/>
              <w:end w:w="80" w:type="dxa"/>
            </w:tcMar>
            <w:shd w:fill="D9EAF7"/>
          </w:tcPr>
          <w:p>
            <w:r>
              <w:rPr>
                <w:b/>
              </w:rPr>
              <w:t>Board / executive</w:t>
            </w:r>
          </w:p>
        </w:tc>
        <w:tc>
          <w:tcPr>
            <w:tcW w:type="dxa" w:w="1397"/>
            <w:vAlign w:val="centre"/>
            <w:tcMar>
              <w:top w:w="80" w:type="dxa"/>
              <w:start w:w="80" w:type="dxa"/>
              <w:bottom w:w="80" w:type="dxa"/>
              <w:end w:w="80" w:type="dxa"/>
            </w:tcMar>
            <w:shd w:fill="D9EAF7"/>
          </w:tcPr>
          <w:p>
            <w:r>
              <w:rPr>
                <w:b/>
              </w:rPr>
              <w:t>Clinical lead</w:t>
            </w:r>
          </w:p>
        </w:tc>
        <w:tc>
          <w:tcPr>
            <w:tcW w:type="dxa" w:w="1397"/>
            <w:vAlign w:val="centre"/>
            <w:tcMar>
              <w:top w:w="80" w:type="dxa"/>
              <w:start w:w="80" w:type="dxa"/>
              <w:bottom w:w="80" w:type="dxa"/>
              <w:end w:w="80" w:type="dxa"/>
            </w:tcMar>
            <w:shd w:fill="D9EAF7"/>
          </w:tcPr>
          <w:p>
            <w:r>
              <w:rPr>
                <w:b/>
              </w:rPr>
              <w:t>Operations</w:t>
            </w:r>
          </w:p>
        </w:tc>
        <w:tc>
          <w:tcPr>
            <w:tcW w:type="dxa" w:w="1397"/>
            <w:vAlign w:val="centre"/>
            <w:tcMar>
              <w:top w:w="80" w:type="dxa"/>
              <w:start w:w="80" w:type="dxa"/>
              <w:bottom w:w="80" w:type="dxa"/>
              <w:end w:w="80" w:type="dxa"/>
            </w:tcMar>
            <w:shd w:fill="D9EAF7"/>
          </w:tcPr>
          <w:p>
            <w:r>
              <w:rPr>
                <w:b/>
              </w:rPr>
              <w:t>IT/data</w:t>
            </w:r>
          </w:p>
        </w:tc>
        <w:tc>
          <w:tcPr>
            <w:tcW w:type="dxa" w:w="1397"/>
            <w:vAlign w:val="centre"/>
            <w:tcMar>
              <w:top w:w="80" w:type="dxa"/>
              <w:start w:w="80" w:type="dxa"/>
              <w:bottom w:w="80" w:type="dxa"/>
              <w:end w:w="80" w:type="dxa"/>
            </w:tcMar>
            <w:shd w:fill="D9EAF7"/>
          </w:tcPr>
          <w:p>
            <w:r>
              <w:rPr>
                <w:b/>
              </w:rPr>
              <w:t>Economics/finance</w:t>
            </w:r>
          </w:p>
        </w:tc>
        <w:tc>
          <w:tcPr>
            <w:tcW w:type="dxa" w:w="1397"/>
            <w:vAlign w:val="centre"/>
            <w:tcMar>
              <w:top w:w="80" w:type="dxa"/>
              <w:start w:w="80" w:type="dxa"/>
              <w:bottom w:w="80" w:type="dxa"/>
              <w:end w:w="80" w:type="dxa"/>
            </w:tcMar>
            <w:shd w:fill="D9EAF7"/>
          </w:tcPr>
          <w:p>
            <w:r>
              <w:rPr>
                <w:b/>
              </w:rPr>
              <w:t>Ethics/privacy</w:t>
            </w:r>
          </w:p>
        </w:tc>
        <w:tc>
          <w:tcPr>
            <w:tcW w:type="dxa" w:w="1397"/>
            <w:vAlign w:val="centre"/>
            <w:tcMar>
              <w:top w:w="80" w:type="dxa"/>
              <w:start w:w="80" w:type="dxa"/>
              <w:bottom w:w="80" w:type="dxa"/>
              <w:end w:w="80" w:type="dxa"/>
            </w:tcMar>
            <w:shd w:fill="D9EAF7"/>
          </w:tcPr>
          <w:p>
            <w:r>
              <w:rPr>
                <w:b/>
              </w:rPr>
              <w:t>Procurement/legal</w:t>
            </w:r>
          </w:p>
        </w:tc>
        <w:tc>
          <w:tcPr>
            <w:tcW w:type="dxa" w:w="1397"/>
            <w:vAlign w:val="centre"/>
            <w:tcMar>
              <w:top w:w="80" w:type="dxa"/>
              <w:start w:w="80" w:type="dxa"/>
              <w:bottom w:w="80" w:type="dxa"/>
              <w:end w:w="80" w:type="dxa"/>
            </w:tcMar>
            <w:shd w:fill="D9EAF7"/>
          </w:tcPr>
          <w:p>
            <w:r>
              <w:rPr>
                <w:b/>
              </w:rPr>
              <w:t>Vendor</w:t>
            </w:r>
          </w:p>
        </w:tc>
        <w:tc>
          <w:tcPr>
            <w:tcW w:type="dxa" w:w="1397"/>
            <w:vAlign w:val="centre"/>
            <w:tcMar>
              <w:top w:w="80" w:type="dxa"/>
              <w:start w:w="80" w:type="dxa"/>
              <w:bottom w:w="80" w:type="dxa"/>
              <w:end w:w="80" w:type="dxa"/>
            </w:tcMar>
            <w:shd w:fill="D9EAF7"/>
          </w:tcPr>
          <w:p>
            <w:r>
              <w:rPr>
                <w:b/>
              </w:rPr>
              <w:t>Patient/public</w:t>
            </w:r>
          </w:p>
        </w:tc>
      </w:tr>
      <w:tr>
        <w:tc>
          <w:tcPr>
            <w:tcW w:type="dxa" w:w="1397"/>
            <w:vAlign w:val="centre"/>
            <w:tcMar>
              <w:top w:w="80" w:type="dxa"/>
              <w:start w:w="80" w:type="dxa"/>
              <w:bottom w:w="80" w:type="dxa"/>
              <w:end w:w="80" w:type="dxa"/>
            </w:tcMar>
          </w:tcPr>
          <w:p>
            <w:r>
              <w:t>Define problem and comparator</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r>
      <w:tr>
        <w:tc>
          <w:tcPr>
            <w:tcW w:type="dxa" w:w="1397"/>
            <w:vAlign w:val="centre"/>
            <w:tcMar>
              <w:top w:w="80" w:type="dxa"/>
              <w:start w:w="80" w:type="dxa"/>
              <w:bottom w:w="80" w:type="dxa"/>
              <w:end w:w="80" w:type="dxa"/>
            </w:tcMar>
          </w:tcPr>
          <w:p>
            <w:r>
              <w:t>Approve intended use and risk category</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r>
      <w:tr>
        <w:tc>
          <w:tcPr>
            <w:tcW w:type="dxa" w:w="1397"/>
            <w:vAlign w:val="centre"/>
            <w:tcMar>
              <w:top w:w="80" w:type="dxa"/>
              <w:start w:w="80" w:type="dxa"/>
              <w:bottom w:w="80" w:type="dxa"/>
              <w:end w:w="80" w:type="dxa"/>
            </w:tcMar>
          </w:tcPr>
          <w:p>
            <w:r>
              <w:t>Assess data and interoperability</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r>
      <w:tr>
        <w:tc>
          <w:tcPr>
            <w:tcW w:type="dxa" w:w="1397"/>
            <w:vAlign w:val="centre"/>
            <w:tcMar>
              <w:top w:w="80" w:type="dxa"/>
              <w:start w:w="80" w:type="dxa"/>
              <w:bottom w:w="80" w:type="dxa"/>
              <w:end w:w="80" w:type="dxa"/>
            </w:tcMar>
          </w:tcPr>
          <w:p>
            <w:r>
              <w:t>Appraise clinical and technical evidence</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r>
      <w:tr>
        <w:tc>
          <w:tcPr>
            <w:tcW w:type="dxa" w:w="1397"/>
            <w:vAlign w:val="centre"/>
            <w:tcMar>
              <w:top w:w="80" w:type="dxa"/>
              <w:start w:w="80" w:type="dxa"/>
              <w:bottom w:w="80" w:type="dxa"/>
              <w:end w:w="80" w:type="dxa"/>
            </w:tcMar>
          </w:tcPr>
          <w:p>
            <w:r>
              <w:t>Conduct economic evaluation</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r>
      <w:tr>
        <w:tc>
          <w:tcPr>
            <w:tcW w:type="dxa" w:w="1397"/>
            <w:vAlign w:val="centre"/>
            <w:tcMar>
              <w:top w:w="80" w:type="dxa"/>
              <w:start w:w="80" w:type="dxa"/>
              <w:bottom w:w="80" w:type="dxa"/>
              <w:end w:w="80" w:type="dxa"/>
            </w:tcMar>
          </w:tcPr>
          <w:p>
            <w:r>
              <w:t>Assess ethics, equity, privacy, and trust</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r>
      <w:tr>
        <w:tc>
          <w:tcPr>
            <w:tcW w:type="dxa" w:w="1397"/>
            <w:vAlign w:val="centre"/>
            <w:tcMar>
              <w:top w:w="80" w:type="dxa"/>
              <w:start w:w="80" w:type="dxa"/>
              <w:bottom w:w="80" w:type="dxa"/>
              <w:end w:w="80" w:type="dxa"/>
            </w:tcMar>
          </w:tcPr>
          <w:p>
            <w:r>
              <w:t>Approve tender and contract</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r>
      <w:tr>
        <w:tc>
          <w:tcPr>
            <w:tcW w:type="dxa" w:w="1397"/>
            <w:vAlign w:val="centre"/>
            <w:tcMar>
              <w:top w:w="80" w:type="dxa"/>
              <w:start w:w="80" w:type="dxa"/>
              <w:bottom w:w="80" w:type="dxa"/>
              <w:end w:w="80" w:type="dxa"/>
            </w:tcMar>
          </w:tcPr>
          <w:p>
            <w:r>
              <w:t>Conduct local validation</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r>
      <w:tr>
        <w:tc>
          <w:tcPr>
            <w:tcW w:type="dxa" w:w="1397"/>
            <w:vAlign w:val="centre"/>
            <w:tcMar>
              <w:top w:w="80" w:type="dxa"/>
              <w:start w:w="80" w:type="dxa"/>
              <w:bottom w:w="80" w:type="dxa"/>
              <w:end w:w="80" w:type="dxa"/>
            </w:tcMar>
          </w:tcPr>
          <w:p>
            <w:r>
              <w:t>Approve pilot and training</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r>
      <w:tr>
        <w:tc>
          <w:tcPr>
            <w:tcW w:type="dxa" w:w="1397"/>
            <w:vAlign w:val="centre"/>
            <w:tcMar>
              <w:top w:w="80" w:type="dxa"/>
              <w:start w:w="80" w:type="dxa"/>
              <w:bottom w:w="80" w:type="dxa"/>
              <w:end w:w="80" w:type="dxa"/>
            </w:tcMar>
          </w:tcPr>
          <w:p>
            <w:r>
              <w:t>Monitor performance and incidents</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r>
      <w:tr>
        <w:tc>
          <w:tcPr>
            <w:tcW w:type="dxa" w:w="1397"/>
            <w:vAlign w:val="centre"/>
            <w:tcMar>
              <w:top w:w="80" w:type="dxa"/>
              <w:start w:w="80" w:type="dxa"/>
              <w:bottom w:w="80" w:type="dxa"/>
              <w:end w:w="80" w:type="dxa"/>
            </w:tcMar>
          </w:tcPr>
          <w:p>
            <w:r>
              <w:t>Approve updates or expansion</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r>
      <w:tr>
        <w:tc>
          <w:tcPr>
            <w:tcW w:type="dxa" w:w="1397"/>
            <w:vAlign w:val="centre"/>
            <w:tcMar>
              <w:top w:w="80" w:type="dxa"/>
              <w:start w:w="80" w:type="dxa"/>
              <w:bottom w:w="80" w:type="dxa"/>
              <w:end w:w="80" w:type="dxa"/>
            </w:tcMar>
          </w:tcPr>
          <w:p>
            <w:r>
              <w:t>Renew, restrict, replace, or retire</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r>
    </w:tbl>
    <w:p/>
    <w:p>
      <w:pPr>
        <w:sectPr>
          <w:pgSz w:w="15840" w:h="12240" w:orient="landscape"/>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re"/>
            <w:tcMar>
              <w:top w:w="80" w:type="dxa"/>
              <w:start w:w="80" w:type="dxa"/>
              <w:bottom w:w="80" w:type="dxa"/>
              <w:end w:w="80" w:type="dxa"/>
            </w:tcMar>
            <w:shd w:fill="D9EAF7"/>
          </w:tcPr>
          <w:p>
            <w:r>
              <w:rPr>
                <w:b/>
              </w:rPr>
              <w:t>Trigger / decision</w:t>
            </w:r>
          </w:p>
        </w:tc>
        <w:tc>
          <w:tcPr>
            <w:tcW w:type="dxa" w:w="1728"/>
            <w:vAlign w:val="centre"/>
            <w:tcMar>
              <w:top w:w="80" w:type="dxa"/>
              <w:start w:w="80" w:type="dxa"/>
              <w:bottom w:w="80" w:type="dxa"/>
              <w:end w:w="80" w:type="dxa"/>
            </w:tcMar>
            <w:shd w:fill="D9EAF7"/>
          </w:tcPr>
          <w:p>
            <w:r>
              <w:rPr>
                <w:b/>
              </w:rPr>
              <w:t>Primary owner</w:t>
            </w:r>
          </w:p>
        </w:tc>
        <w:tc>
          <w:tcPr>
            <w:tcW w:type="dxa" w:w="1728"/>
            <w:vAlign w:val="centre"/>
            <w:tcMar>
              <w:top w:w="80" w:type="dxa"/>
              <w:start w:w="80" w:type="dxa"/>
              <w:bottom w:w="80" w:type="dxa"/>
              <w:end w:w="80" w:type="dxa"/>
            </w:tcMar>
            <w:shd w:fill="D9EAF7"/>
          </w:tcPr>
          <w:p>
            <w:r>
              <w:rPr>
                <w:b/>
              </w:rPr>
              <w:t>Deputy</w:t>
            </w:r>
          </w:p>
        </w:tc>
        <w:tc>
          <w:tcPr>
            <w:tcW w:type="dxa" w:w="1728"/>
            <w:vAlign w:val="centre"/>
            <w:tcMar>
              <w:top w:w="80" w:type="dxa"/>
              <w:start w:w="80" w:type="dxa"/>
              <w:bottom w:w="80" w:type="dxa"/>
              <w:end w:w="80" w:type="dxa"/>
            </w:tcMar>
            <w:shd w:fill="D9EAF7"/>
          </w:tcPr>
          <w:p>
            <w:r>
              <w:rPr>
                <w:b/>
              </w:rPr>
              <w:t>Response time</w:t>
            </w:r>
          </w:p>
        </w:tc>
        <w:tc>
          <w:tcPr>
            <w:tcW w:type="dxa" w:w="1728"/>
            <w:vAlign w:val="centre"/>
            <w:tcMar>
              <w:top w:w="80" w:type="dxa"/>
              <w:start w:w="80" w:type="dxa"/>
              <w:bottom w:w="80" w:type="dxa"/>
              <w:end w:w="80" w:type="dxa"/>
            </w:tcMar>
            <w:shd w:fill="D9EAF7"/>
          </w:tcPr>
          <w:p>
            <w:r>
              <w:rPr>
                <w:b/>
              </w:rPr>
              <w:t>Escalation body</w:t>
            </w:r>
          </w:p>
        </w:tc>
        <w:tc>
          <w:tcPr>
            <w:tcW w:type="dxa" w:w="1728"/>
            <w:vAlign w:val="centre"/>
            <w:tcMar>
              <w:top w:w="80" w:type="dxa"/>
              <w:start w:w="80" w:type="dxa"/>
              <w:bottom w:w="80" w:type="dxa"/>
              <w:end w:w="80" w:type="dxa"/>
            </w:tcMar>
            <w:shd w:fill="D9EAF7"/>
          </w:tcPr>
          <w:p>
            <w:r>
              <w:rPr>
                <w:b/>
              </w:rPr>
              <w:t>Communication duty</w:t>
            </w:r>
          </w:p>
        </w:tc>
      </w:tr>
      <w:tr>
        <w:tc>
          <w:tcPr>
            <w:tcW w:type="dxa" w:w="1728"/>
            <w:vAlign w:val="centre"/>
            <w:tcMar>
              <w:top w:w="80" w:type="dxa"/>
              <w:start w:w="80" w:type="dxa"/>
              <w:bottom w:w="80" w:type="dxa"/>
              <w:end w:w="80" w:type="dxa"/>
            </w:tcMar>
          </w:tcPr>
          <w:p>
            <w:r>
              <w:t>Serious patient-safety incident</w:t>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Serious patient-safety incident: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r>
        <w:tc>
          <w:tcPr>
            <w:tcW w:type="dxa" w:w="1728"/>
            <w:vAlign w:val="centre"/>
            <w:tcMar>
              <w:top w:w="80" w:type="dxa"/>
              <w:start w:w="80" w:type="dxa"/>
              <w:bottom w:w="80" w:type="dxa"/>
              <w:end w:w="80" w:type="dxa"/>
            </w:tcMar>
          </w:tcPr>
          <w:p>
            <w:r>
              <w:t>Material subgroup disparity</w:t>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Material subgroup disparity: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r>
        <w:tc>
          <w:tcPr>
            <w:tcW w:type="dxa" w:w="1728"/>
            <w:vAlign w:val="centre"/>
            <w:tcMar>
              <w:top w:w="80" w:type="dxa"/>
              <w:start w:w="80" w:type="dxa"/>
              <w:bottom w:w="80" w:type="dxa"/>
              <w:end w:w="80" w:type="dxa"/>
            </w:tcMar>
          </w:tcPr>
          <w:p>
            <w:r>
              <w:t>Cybersecurity or privacy event</w:t>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Cybersecurity or privacy event: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r>
        <w:tc>
          <w:tcPr>
            <w:tcW w:type="dxa" w:w="1728"/>
            <w:vAlign w:val="centre"/>
            <w:tcMar>
              <w:top w:w="80" w:type="dxa"/>
              <w:start w:w="80" w:type="dxa"/>
              <w:bottom w:w="80" w:type="dxa"/>
              <w:end w:w="80" w:type="dxa"/>
            </w:tcMar>
          </w:tcPr>
          <w:p>
            <w:r>
              <w:t>Model or software update</w:t>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Model or software update: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r>
        <w:tc>
          <w:tcPr>
            <w:tcW w:type="dxa" w:w="1728"/>
            <w:vAlign w:val="centre"/>
            <w:tcMar>
              <w:top w:w="80" w:type="dxa"/>
              <w:start w:w="80" w:type="dxa"/>
              <w:bottom w:w="80" w:type="dxa"/>
              <w:end w:w="80" w:type="dxa"/>
            </w:tcMar>
          </w:tcPr>
          <w:p>
            <w:r>
              <w:t>Budget / contract threshold breach</w:t>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Budget / contract threshold breach: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r>
        <w:tc>
          <w:tcPr>
            <w:tcW w:type="dxa" w:w="1728"/>
            <w:vAlign w:val="centre"/>
            <w:tcMar>
              <w:top w:w="80" w:type="dxa"/>
              <w:start w:w="80" w:type="dxa"/>
              <w:bottom w:w="80" w:type="dxa"/>
              <w:end w:w="80" w:type="dxa"/>
            </w:tcMar>
          </w:tcPr>
          <w:p>
            <w:r>
              <w:t>Temporary pause or restricted use</w:t>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Temporary pause or restricted use: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r>
        <w:tc>
          <w:tcPr>
            <w:tcW w:type="dxa" w:w="1728"/>
            <w:vAlign w:val="centre"/>
            <w:tcMar>
              <w:top w:w="80" w:type="dxa"/>
              <w:start w:w="80" w:type="dxa"/>
              <w:bottom w:w="80" w:type="dxa"/>
              <w:end w:w="80" w:type="dxa"/>
            </w:tcMar>
          </w:tcPr>
          <w:p>
            <w:r>
              <w:t>Restart authorization</w:t>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Restart authorization: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r>
        <w:tc>
          <w:tcPr>
            <w:tcW w:type="dxa" w:w="1728"/>
            <w:vAlign w:val="centre"/>
            <w:tcMar>
              <w:top w:w="80" w:type="dxa"/>
              <w:start w:w="80" w:type="dxa"/>
              <w:bottom w:w="80" w:type="dxa"/>
              <w:end w:w="80" w:type="dxa"/>
            </w:tcMar>
          </w:tcPr>
          <w:p>
            <w:r>
              <w:t>Retirement decision</w:t>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Retirement decision: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bl>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D9EAF7"/>
          </w:tcPr>
          <w:p>
            <w:r>
              <w:rPr>
                <w:b/>
              </w:rPr>
              <w:t>Field</w:t>
            </w:r>
          </w:p>
        </w:tc>
        <w:tc>
          <w:tcPr>
            <w:tcW w:type="dxa" w:w="5184"/>
            <w:vAlign w:val="centre"/>
            <w:tcMar>
              <w:top w:w="80" w:type="dxa"/>
              <w:start w:w="80" w:type="dxa"/>
              <w:bottom w:w="80" w:type="dxa"/>
              <w:end w:w="80" w:type="dxa"/>
            </w:tcMar>
            <w:shd w:fill="D9EAF7"/>
          </w:tcPr>
          <w:p>
            <w:r>
              <w:rPr>
                <w:b/>
              </w:rPr>
              <w:t>Guidance / response</w:t>
            </w:r>
          </w:p>
        </w:tc>
      </w:tr>
      <w:tr>
        <w:tc>
          <w:tcPr>
            <w:tcW w:type="dxa" w:w="5184"/>
            <w:vAlign w:val="centre"/>
            <w:tcMar>
              <w:top w:w="80" w:type="dxa"/>
              <w:start w:w="80" w:type="dxa"/>
              <w:bottom w:w="80" w:type="dxa"/>
              <w:end w:w="80" w:type="dxa"/>
            </w:tcMar>
          </w:tcPr>
          <w:p>
            <w:r>
              <w:t>Named lifecycle owner</w:t>
            </w:r>
          </w:p>
        </w:tc>
        <w:tc>
          <w:tcPr>
            <w:tcW w:type="dxa" w:w="5184"/>
            <w:vAlign w:val="centre"/>
            <w:tcMar>
              <w:top w:w="80" w:type="dxa"/>
              <w:start w:w="80" w:type="dxa"/>
              <w:bottom w:w="80" w:type="dxa"/>
              <w:end w:w="80" w:type="dxa"/>
            </w:tcMar>
          </w:tcPr>
          <w:p>
            <w:r>
              <w:t>Illustrative response for Named lifecycle owner: evidence documented, limitations noted, and an accountable owner assigned.</w:t>
            </w:r>
          </w:p>
        </w:tc>
      </w:tr>
      <w:tr>
        <w:tc>
          <w:tcPr>
            <w:tcW w:type="dxa" w:w="5184"/>
            <w:vAlign w:val="centre"/>
            <w:tcMar>
              <w:top w:w="80" w:type="dxa"/>
              <w:start w:w="80" w:type="dxa"/>
              <w:bottom w:w="80" w:type="dxa"/>
              <w:end w:w="80" w:type="dxa"/>
            </w:tcMar>
          </w:tcPr>
          <w:p>
            <w:r>
              <w:t>Authority to pause use</w:t>
            </w:r>
          </w:p>
        </w:tc>
        <w:tc>
          <w:tcPr>
            <w:tcW w:type="dxa" w:w="5184"/>
            <w:vAlign w:val="centre"/>
            <w:tcMar>
              <w:top w:w="80" w:type="dxa"/>
              <w:start w:w="80" w:type="dxa"/>
              <w:bottom w:w="80" w:type="dxa"/>
              <w:end w:w="80" w:type="dxa"/>
            </w:tcMar>
          </w:tcPr>
          <w:p>
            <w:r>
              <w:t>Illustrative response for Authority to pause use: evidence documented, limitations noted, and an accountable owner assigned.</w:t>
            </w:r>
          </w:p>
        </w:tc>
      </w:tr>
      <w:tr>
        <w:tc>
          <w:tcPr>
            <w:tcW w:type="dxa" w:w="5184"/>
            <w:vAlign w:val="centre"/>
            <w:tcMar>
              <w:top w:w="80" w:type="dxa"/>
              <w:start w:w="80" w:type="dxa"/>
              <w:bottom w:w="80" w:type="dxa"/>
              <w:end w:w="80" w:type="dxa"/>
            </w:tcMar>
          </w:tcPr>
          <w:p>
            <w:r>
              <w:t>Authority to approve update</w:t>
            </w:r>
          </w:p>
        </w:tc>
        <w:tc>
          <w:tcPr>
            <w:tcW w:type="dxa" w:w="5184"/>
            <w:vAlign w:val="centre"/>
            <w:tcMar>
              <w:top w:w="80" w:type="dxa"/>
              <w:start w:w="80" w:type="dxa"/>
              <w:bottom w:w="80" w:type="dxa"/>
              <w:end w:w="80" w:type="dxa"/>
            </w:tcMar>
          </w:tcPr>
          <w:p>
            <w:r>
              <w:t>Illustrative response for Authority to approve update: evidence documented, limitations noted, and an accountable owner assigned.</w:t>
            </w:r>
          </w:p>
        </w:tc>
      </w:tr>
      <w:tr>
        <w:tc>
          <w:tcPr>
            <w:tcW w:type="dxa" w:w="5184"/>
            <w:vAlign w:val="centre"/>
            <w:tcMar>
              <w:top w:w="80" w:type="dxa"/>
              <w:start w:w="80" w:type="dxa"/>
              <w:bottom w:w="80" w:type="dxa"/>
              <w:end w:w="80" w:type="dxa"/>
            </w:tcMar>
          </w:tcPr>
          <w:p>
            <w:r>
              <w:t>Patient/public representation method</w:t>
            </w:r>
          </w:p>
        </w:tc>
        <w:tc>
          <w:tcPr>
            <w:tcW w:type="dxa" w:w="5184"/>
            <w:vAlign w:val="centre"/>
            <w:tcMar>
              <w:top w:w="80" w:type="dxa"/>
              <w:start w:w="80" w:type="dxa"/>
              <w:bottom w:w="80" w:type="dxa"/>
              <w:end w:w="80" w:type="dxa"/>
            </w:tcMar>
          </w:tcPr>
          <w:p>
            <w:r>
              <w:t>Illustrative response for Patient/public representation method: evidence documented, limitations noted, and an accountable owner assigned.</w:t>
            </w:r>
          </w:p>
        </w:tc>
      </w:tr>
      <w:tr>
        <w:tc>
          <w:tcPr>
            <w:tcW w:type="dxa" w:w="5184"/>
            <w:vAlign w:val="centre"/>
            <w:tcMar>
              <w:top w:w="80" w:type="dxa"/>
              <w:start w:w="80" w:type="dxa"/>
              <w:bottom w:w="80" w:type="dxa"/>
              <w:end w:w="80" w:type="dxa"/>
            </w:tcMar>
          </w:tcPr>
          <w:p>
            <w:r>
              <w:t>Vendor responsibility and limits</w:t>
            </w:r>
          </w:p>
        </w:tc>
        <w:tc>
          <w:tcPr>
            <w:tcW w:type="dxa" w:w="5184"/>
            <w:vAlign w:val="centre"/>
            <w:tcMar>
              <w:top w:w="80" w:type="dxa"/>
              <w:start w:w="80" w:type="dxa"/>
              <w:bottom w:w="80" w:type="dxa"/>
              <w:end w:w="80" w:type="dxa"/>
            </w:tcMar>
          </w:tcPr>
          <w:p>
            <w:r>
              <w:t>Illustrative response for Vendor responsibility and limits: evidence documented, limitations noted, and an accountable owner assigned.</w:t>
            </w:r>
          </w:p>
        </w:tc>
      </w:tr>
      <w:tr>
        <w:tc>
          <w:tcPr>
            <w:tcW w:type="dxa" w:w="5184"/>
            <w:vAlign w:val="centre"/>
            <w:tcMar>
              <w:top w:w="80" w:type="dxa"/>
              <w:start w:w="80" w:type="dxa"/>
              <w:bottom w:w="80" w:type="dxa"/>
              <w:end w:w="80" w:type="dxa"/>
            </w:tcMar>
          </w:tcPr>
          <w:p>
            <w:r>
              <w:t>Next governance review</w:t>
            </w:r>
          </w:p>
        </w:tc>
        <w:tc>
          <w:tcPr>
            <w:tcW w:type="dxa" w:w="5184"/>
            <w:vAlign w:val="centre"/>
            <w:tcMar>
              <w:top w:w="80" w:type="dxa"/>
              <w:start w:w="80" w:type="dxa"/>
              <w:bottom w:w="80" w:type="dxa"/>
              <w:end w:w="80" w:type="dxa"/>
            </w:tcMar>
          </w:tcPr>
          <w:p>
            <w:r>
              <w:t>Illustrative response for Next governance review: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pgSz w:w="12240" w:h="158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AIHE-O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