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AIHE-B03 - Benefit Realization and Capacity Conversion</w:t>
      </w:r>
    </w:p>
    <w:p>
      <w:r>
        <w:rPr>
          <w:b/>
        </w:rPr>
        <w:t>Chapter 4: Productivity, Work Redesign, and Implementation</w:t>
      </w:r>
    </w:p>
    <w:p>
      <w:r>
        <w:t>Translate claimed benefits into measurable mechanisms, owners, baselines, conversion conditions, and realized results.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AIHE-B03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Productivity</w:t>
            </w:r>
          </w:p>
        </w:tc>
        <w:tc>
          <w:tcPr>
            <w:tcW w:type="dxa" w:w="2556"/>
            <w:vAlign w:val="top"/>
          </w:tcPr>
          <w:p>
            <w:r>
              <w:t>Task and denominator</w:t>
            </w:r>
          </w:p>
        </w:tc>
        <w:tc>
          <w:tcPr>
            <w:tcW w:type="dxa" w:w="2556"/>
            <w:vAlign w:val="top"/>
          </w:tcPr>
          <w:p>
            <w:r>
              <w:t>Specify per note, case, encounter, session, or paid hour.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Productivity</w:t>
            </w:r>
          </w:p>
        </w:tc>
        <w:tc>
          <w:tcPr>
            <w:tcW w:type="dxa" w:w="2556"/>
            <w:vAlign w:val="top"/>
          </w:tcPr>
          <w:p>
            <w:r>
              <w:t>Baseline and AI-assisted gross task time</w:t>
            </w:r>
          </w:p>
        </w:tc>
        <w:tc>
          <w:tcPr>
            <w:tcW w:type="dxa" w:w="2556"/>
            <w:vAlign w:val="top"/>
          </w:tcPr>
          <w:p>
            <w:r>
              <w:t>Use locally observed values where possible.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Productivity</w:t>
            </w:r>
          </w:p>
        </w:tc>
        <w:tc>
          <w:tcPr>
            <w:tcW w:type="dxa" w:w="2556"/>
            <w:vAlign w:val="top"/>
          </w:tcPr>
          <w:p>
            <w:r>
              <w:t>Review, correction, coordination, support, and rework</w:t>
            </w:r>
          </w:p>
        </w:tc>
        <w:tc>
          <w:tcPr>
            <w:tcW w:type="dxa" w:w="2556"/>
            <w:vAlign w:val="top"/>
          </w:tcPr>
          <w:p>
            <w:r>
              <w:t>Calculate net labour saving.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Quality</w:t>
            </w:r>
          </w:p>
        </w:tc>
        <w:tc>
          <w:tcPr>
            <w:tcW w:type="dxa" w:w="2556"/>
            <w:vAlign w:val="top"/>
          </w:tcPr>
          <w:p>
            <w:r>
              <w:t>Quality, completeness, safety, and downstream rework adjustment</w:t>
            </w:r>
          </w:p>
        </w:tc>
        <w:tc>
          <w:tcPr>
            <w:tcW w:type="dxa" w:w="2556"/>
            <w:vAlign w:val="top"/>
          </w:tcPr>
          <w:p>
            <w:r>
              <w:t>Do not equate speed with productivity.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Capacity</w:t>
            </w:r>
          </w:p>
        </w:tc>
        <w:tc>
          <w:tcPr>
            <w:tcW w:type="dxa" w:w="2556"/>
            <w:vAlign w:val="top"/>
          </w:tcPr>
          <w:p>
            <w:r>
              <w:t>Fragmentation, regularity, and schedulability of released time</w:t>
            </w:r>
          </w:p>
        </w:tc>
        <w:tc>
          <w:tcPr>
            <w:tcW w:type="dxa" w:w="2556"/>
            <w:vAlign w:val="top"/>
          </w:tcPr>
          <w:p>
            <w:r>
              <w:t>Determine usable capacity.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Service system</w:t>
            </w:r>
          </w:p>
        </w:tc>
        <w:tc>
          <w:tcPr>
            <w:tcW w:type="dxa" w:w="2556"/>
            <w:vAlign w:val="top"/>
          </w:tcPr>
          <w:p>
            <w:r>
              <w:t>Binding bottleneck and downstream workload</w:t>
            </w:r>
          </w:p>
        </w:tc>
        <w:tc>
          <w:tcPr>
            <w:tcW w:type="dxa" w:w="2556"/>
            <w:vAlign w:val="top"/>
          </w:tcPr>
          <w:p>
            <w:r>
              <w:t>Assess service-level effects.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Allocation</w:t>
            </w:r>
          </w:p>
        </w:tc>
        <w:tc>
          <w:tcPr>
            <w:tcW w:type="dxa" w:w="2556"/>
            <w:vAlign w:val="top"/>
          </w:tcPr>
          <w:p>
            <w:r>
              <w:t>Actual destination of released capacity</w:t>
            </w:r>
          </w:p>
        </w:tc>
        <w:tc>
          <w:tcPr>
            <w:tcW w:type="dxa" w:w="2556"/>
            <w:vAlign w:val="top"/>
          </w:tcPr>
          <w:p>
            <w:r>
              <w:t>Throughput, backlog, patient communication, supervision, quality work, or recovery time.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Workforce</w:t>
            </w:r>
          </w:p>
        </w:tc>
        <w:tc>
          <w:tcPr>
            <w:tcW w:type="dxa" w:w="2556"/>
            <w:vAlign w:val="top"/>
          </w:tcPr>
          <w:p>
            <w:r>
              <w:t>Work transfer, work intensity, autonomy, and skill effects</w:t>
            </w:r>
          </w:p>
        </w:tc>
        <w:tc>
          <w:tcPr>
            <w:tcW w:type="dxa" w:w="2556"/>
            <w:vAlign w:val="top"/>
          </w:tcPr>
          <w:p>
            <w:r>
              <w:t>Assess distribution across professions.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Persistence</w:t>
            </w:r>
          </w:p>
        </w:tc>
        <w:tc>
          <w:tcPr>
            <w:tcW w:type="dxa" w:w="2556"/>
            <w:vAlign w:val="top"/>
          </w:tcPr>
          <w:p>
            <w:r>
              <w:t>Longitudinal effect after routine use and updates</w:t>
            </w:r>
          </w:p>
        </w:tc>
        <w:tc>
          <w:tcPr>
            <w:tcW w:type="dxa" w:w="2556"/>
            <w:vAlign w:val="top"/>
          </w:tcPr>
          <w:p>
            <w:r>
              <w:t>Avoid indefinite extrapolation from a short pilot.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Financial recognition</w:t>
            </w:r>
          </w:p>
        </w:tc>
        <w:tc>
          <w:tcPr>
            <w:tcW w:type="dxa" w:w="2556"/>
            <w:vAlign w:val="top"/>
          </w:tcPr>
          <w:p>
            <w:r>
              <w:t>Cashable saving, avoided cost, revenue, or non-cash capacity benefit</w:t>
            </w:r>
          </w:p>
        </w:tc>
        <w:tc>
          <w:tcPr>
            <w:tcW w:type="dxa" w:w="2556"/>
            <w:vAlign w:val="top"/>
          </w:tcPr>
          <w:p>
            <w:r>
              <w:t>Apply a stated recognition rule.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AIHE-B03 - Benefit Realization and Capacity Conversion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