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Implementation Framework Selection Guide</w:t>
      </w:r>
    </w:p>
    <w:p>
      <w:pPr>
        <w:jc w:val="centre"/>
      </w:pPr>
      <w:r>
        <w:rPr>
          <w:b/>
          <w:color w:val="7A2334"/>
        </w:rPr>
        <w:t>AIHE-RG03</w:t>
      </w:r>
    </w:p>
    <w:p>
      <w:pPr>
        <w:spacing w:after="40"/>
      </w:pPr>
      <w:r>
        <w:rPr>
          <w:b/>
        </w:rPr>
        <w:t xml:space="preserve">Primary chapter: </w:t>
      </w:r>
      <w:r>
        <w:t>4 — Productivity, Work Redesign, and Implementation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4, 11, 12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Select CFIR, NASSS-CAT, RE-AIM/PRISM, TAM/UTAUT, and mixed-method approaches according to the implementation question rather than name recognition.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rPr>
          <w:tblHeader w:val="true"/>
        </w:trPr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Implementation question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Candidate framework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Best use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Key constructs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Main limitation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Planned timing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Measure or data source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525"/>
            <w:shd w:fill="7A2334"/>
          </w:tcPr>
          <w:p>
            <w:r>
              <w:rPr>
                <w:b/>
                <w:color w:val="FFFFFF"/>
                <w:sz w:val="15"/>
              </w:rPr>
              <w:t>Decision triggered</w:t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Multilevel determinants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Updated CFIR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determinant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Barrier and facilitator assessment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Innovation, outer setting, inner setting, individuals, process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an outcome, economics or AI assurance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Technology complexity, abandonment, scale and sustainment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NASSS / NASSS-CAT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framework and assessment tool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Complexity and sustainability analysis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Condition, technology, value proposition, adopters, organization, context,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Requires separate clinical and economic evidence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Implementation outcomes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outcome framework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Reach, effectiveness, adoption, implementation and maintenance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Five RE-AIM dimensions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Causal interpretation and measure validity still required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Context and sustainability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PRISM / RE-AIM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implementation and sustainability model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Link context, implementation, outcomes and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Intervention, recipients, implementation/sustainability infrastructure, external environment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Not AI-specific governance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Individual acceptance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TAM / UTAUT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acceptance theories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Usefulness, effort, social influence, facilitating conditions and intention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constructs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Acceptance does not equal safe or effective use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525"/>
            <w:vAlign w:val="top"/>
            <w:shd w:fill="F2E8EB"/>
          </w:tcPr>
          <w:p>
            <w:r>
              <w:rPr>
                <w:sz w:val="14"/>
              </w:rPr>
              <w:t>Complex intervention development and evaluation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MRC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Established guidance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Programme theory, context, evaluation, implementation and economics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Complex-intervention phases and uncertainties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  <w:t>Needs AI lifecycle adaptation</w:t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525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AIHE-RG03 guide and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