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AI Quality-Control and Accreditation Evidence Plan</w:t>
      </w:r>
    </w:p>
    <w:p>
      <w:pPr>
        <w:jc w:val="centre"/>
      </w:pPr>
      <w:r>
        <w:rPr>
          <w:b/>
          <w:color w:val="7A2334"/>
        </w:rPr>
        <w:t>AIHE-C01</w:t>
      </w:r>
    </w:p>
    <w:p>
      <w:pPr>
        <w:spacing w:after="40"/>
      </w:pPr>
      <w:r>
        <w:rPr>
          <w:b/>
        </w:rPr>
        <w:t xml:space="preserve">Primary chapter: </w:t>
      </w:r>
      <w:r>
        <w:t>5 — Quality Management, Accreditation, and Organizational Learning</w:t>
      </w:r>
    </w:p>
    <w:p>
      <w:pPr>
        <w:spacing w:after="40"/>
      </w:pPr>
      <w:r>
        <w:rPr>
          <w:b/>
        </w:rPr>
        <w:t xml:space="preserve">Additional chapter alignment: </w:t>
      </w:r>
      <w:r>
        <w:t>5, 10, 11, 12</w:t>
      </w:r>
    </w:p>
    <w:p>
      <w:pPr>
        <w:spacing w:after="40"/>
      </w:pPr>
      <w:r>
        <w:rPr>
          <w:b/>
        </w:rPr>
        <w:t xml:space="preserve">Legacy aliases: </w:t>
      </w:r>
      <w:r>
        <w:t>AIHE-I</w:t>
      </w:r>
    </w:p>
    <w:p>
      <w:pPr>
        <w:spacing w:after="40"/>
      </w:pPr>
      <w:r>
        <w:rPr>
          <w:b/>
        </w:rPr>
        <w:t xml:space="preserve">Version: </w:t>
      </w:r>
      <w:r>
        <w:t>V1.0</w:t>
      </w:r>
    </w:p>
    <w:p>
      <w:pPr>
        <w:pStyle w:val="Heading1"/>
      </w:pPr>
      <w:r>
        <w:t>Purpose</w:t>
      </w:r>
    </w:p>
    <w:p>
      <w:r>
        <w:t>Integrate AI-enabled services into quality control, accreditation evidence, monitoring, thresholds, action, and closure.</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2179"/>
            <w:shd w:fill="7A2334"/>
          </w:tcPr>
          <w:p>
            <w:r>
              <w:rPr>
                <w:b/>
                <w:color w:val="FFFFFF"/>
                <w:sz w:val="15"/>
              </w:rPr>
              <w:t>Domain or requirement</w:t>
            </w:r>
          </w:p>
        </w:tc>
        <w:tc>
          <w:tcPr>
            <w:tcW w:type="dxa" w:w="2179"/>
            <w:shd w:fill="7A2334"/>
          </w:tcPr>
          <w:p>
            <w:r>
              <w:rPr>
                <w:b/>
                <w:color w:val="FFFFFF"/>
                <w:sz w:val="15"/>
              </w:rPr>
              <w:t>Measure and definition</w:t>
            </w:r>
          </w:p>
        </w:tc>
        <w:tc>
          <w:tcPr>
            <w:tcW w:type="dxa" w:w="2179"/>
            <w:shd w:fill="7A2334"/>
          </w:tcPr>
          <w:p>
            <w:r>
              <w:rPr>
                <w:b/>
                <w:color w:val="FFFFFF"/>
                <w:sz w:val="15"/>
              </w:rPr>
              <w:t>Data source and version</w:t>
            </w:r>
          </w:p>
        </w:tc>
        <w:tc>
          <w:tcPr>
            <w:tcW w:type="dxa" w:w="2179"/>
            <w:shd w:fill="7A2334"/>
          </w:tcPr>
          <w:p>
            <w:r>
              <w:rPr>
                <w:b/>
                <w:color w:val="FFFFFF"/>
                <w:sz w:val="15"/>
              </w:rPr>
              <w:t>Standard or accreditation evidence</w:t>
            </w:r>
          </w:p>
        </w:tc>
        <w:tc>
          <w:tcPr>
            <w:tcW w:type="dxa" w:w="2179"/>
            <w:shd w:fill="7A2334"/>
          </w:tcPr>
          <w:p>
            <w:r>
              <w:rPr>
                <w:b/>
                <w:color w:val="FFFFFF"/>
                <w:sz w:val="15"/>
              </w:rPr>
              <w:t>Frequency and owner</w:t>
            </w:r>
          </w:p>
        </w:tc>
        <w:tc>
          <w:tcPr>
            <w:tcW w:type="dxa" w:w="2179"/>
            <w:shd w:fill="7A2334"/>
          </w:tcPr>
          <w:p>
            <w:r>
              <w:rPr>
                <w:b/>
                <w:color w:val="FFFFFF"/>
                <w:sz w:val="15"/>
              </w:rPr>
              <w:t>Control or acceptability threshold</w:t>
            </w:r>
          </w:p>
        </w:tc>
        <w:tc>
          <w:tcPr>
            <w:tcW w:type="dxa" w:w="2179"/>
            <w:shd w:fill="7A2334"/>
          </w:tcPr>
          <w:p>
            <w:r>
              <w:rPr>
                <w:b/>
                <w:color w:val="FFFFFF"/>
                <w:sz w:val="15"/>
              </w:rPr>
              <w:t>Action and closure evidence</w:t>
            </w:r>
          </w:p>
        </w:tc>
      </w:tr>
      <w:tr>
        <w:tc>
          <w:tcPr>
            <w:tcW w:type="dxa" w:w="2179"/>
            <w:vAlign w:val="top"/>
            <w:shd w:fill="F2E8EB"/>
          </w:tcPr>
          <w:p>
            <w:r>
              <w:rPr>
                <w:sz w:val="14"/>
              </w:rPr>
              <w:t>Technical reliability</w:t>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r>
        <w:tc>
          <w:tcPr>
            <w:tcW w:type="dxa" w:w="2179"/>
            <w:vAlign w:val="top"/>
            <w:shd w:fill="F2E8EB"/>
          </w:tcPr>
          <w:p>
            <w:r>
              <w:rPr>
                <w:sz w:val="14"/>
              </w:rPr>
              <w:t>Model and human–AI performance</w:t>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r>
        <w:tc>
          <w:tcPr>
            <w:tcW w:type="dxa" w:w="2179"/>
            <w:vAlign w:val="top"/>
            <w:shd w:fill="F2E8EB"/>
          </w:tcPr>
          <w:p>
            <w:r>
              <w:rPr>
                <w:sz w:val="14"/>
              </w:rPr>
              <w:t>Clinical safety and outcome</w:t>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r>
        <w:tc>
          <w:tcPr>
            <w:tcW w:type="dxa" w:w="2179"/>
            <w:vAlign w:val="top"/>
            <w:shd w:fill="F2E8EB"/>
          </w:tcPr>
          <w:p>
            <w:r>
              <w:rPr>
                <w:sz w:val="14"/>
              </w:rPr>
              <w:t>Workflow and professional practice</w:t>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r>
        <w:tc>
          <w:tcPr>
            <w:tcW w:type="dxa" w:w="2179"/>
            <w:vAlign w:val="top"/>
            <w:shd w:fill="F2E8EB"/>
          </w:tcPr>
          <w:p>
            <w:r>
              <w:rPr>
                <w:sz w:val="14"/>
              </w:rPr>
              <w:t>Patient experience and communication</w:t>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r>
        <w:tc>
          <w:tcPr>
            <w:tcW w:type="dxa" w:w="2179"/>
            <w:vAlign w:val="top"/>
            <w:shd w:fill="F2E8EB"/>
          </w:tcPr>
          <w:p>
            <w:r>
              <w:rPr>
                <w:sz w:val="14"/>
              </w:rPr>
              <w:t>Equity and access</w:t>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r>
        <w:tc>
          <w:tcPr>
            <w:tcW w:type="dxa" w:w="2179"/>
            <w:vAlign w:val="top"/>
            <w:shd w:fill="F2E8EB"/>
          </w:tcPr>
          <w:p>
            <w:r>
              <w:rPr>
                <w:sz w:val="14"/>
              </w:rPr>
              <w:t>Economic and resource value</w:t>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r>
        <w:tc>
          <w:tcPr>
            <w:tcW w:type="dxa" w:w="2179"/>
            <w:vAlign w:val="top"/>
            <w:shd w:fill="F2E8EB"/>
          </w:tcPr>
          <w:p>
            <w:r>
              <w:rPr>
                <w:sz w:val="14"/>
              </w:rPr>
              <w:t>Governance and documentation</w:t>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2179"/>
            <w:shd w:fill="52565A"/>
          </w:tcPr>
          <w:p>
            <w:r>
              <w:rPr>
                <w:b/>
                <w:color w:val="FFFFFF"/>
                <w:sz w:val="15"/>
              </w:rPr>
              <w:t>Domain or requirement</w:t>
            </w:r>
          </w:p>
        </w:tc>
        <w:tc>
          <w:tcPr>
            <w:tcW w:type="dxa" w:w="2179"/>
            <w:shd w:fill="52565A"/>
          </w:tcPr>
          <w:p>
            <w:r>
              <w:rPr>
                <w:b/>
                <w:color w:val="FFFFFF"/>
                <w:sz w:val="15"/>
              </w:rPr>
              <w:t>Measure and definition</w:t>
            </w:r>
          </w:p>
        </w:tc>
        <w:tc>
          <w:tcPr>
            <w:tcW w:type="dxa" w:w="2179"/>
            <w:shd w:fill="52565A"/>
          </w:tcPr>
          <w:p>
            <w:r>
              <w:rPr>
                <w:b/>
                <w:color w:val="FFFFFF"/>
                <w:sz w:val="15"/>
              </w:rPr>
              <w:t>Data source and version</w:t>
            </w:r>
          </w:p>
        </w:tc>
        <w:tc>
          <w:tcPr>
            <w:tcW w:type="dxa" w:w="2179"/>
            <w:shd w:fill="52565A"/>
          </w:tcPr>
          <w:p>
            <w:r>
              <w:rPr>
                <w:b/>
                <w:color w:val="FFFFFF"/>
                <w:sz w:val="15"/>
              </w:rPr>
              <w:t>Standard or accreditation evidence</w:t>
            </w:r>
          </w:p>
        </w:tc>
        <w:tc>
          <w:tcPr>
            <w:tcW w:type="dxa" w:w="2179"/>
            <w:shd w:fill="52565A"/>
          </w:tcPr>
          <w:p>
            <w:r>
              <w:rPr>
                <w:b/>
                <w:color w:val="FFFFFF"/>
                <w:sz w:val="15"/>
              </w:rPr>
              <w:t>Frequency and owner</w:t>
            </w:r>
          </w:p>
        </w:tc>
        <w:tc>
          <w:tcPr>
            <w:tcW w:type="dxa" w:w="2179"/>
            <w:shd w:fill="52565A"/>
          </w:tcPr>
          <w:p>
            <w:r>
              <w:rPr>
                <w:b/>
                <w:color w:val="FFFFFF"/>
                <w:sz w:val="15"/>
              </w:rPr>
              <w:t>Control or acceptability threshold</w:t>
            </w:r>
          </w:p>
        </w:tc>
        <w:tc>
          <w:tcPr>
            <w:tcW w:type="dxa" w:w="2179"/>
            <w:shd w:fill="52565A"/>
          </w:tcPr>
          <w:p>
            <w:r>
              <w:rPr>
                <w:b/>
                <w:color w:val="FFFFFF"/>
                <w:sz w:val="15"/>
              </w:rPr>
              <w:t>Action and closure evidence</w:t>
            </w:r>
          </w:p>
        </w:tc>
      </w:tr>
      <w:tr>
        <w:tc>
          <w:tcPr>
            <w:tcW w:type="dxa" w:w="2179"/>
            <w:vAlign w:val="top"/>
            <w:shd w:fill="EFEFEF"/>
          </w:tcPr>
          <w:p>
            <w:r>
              <w:rPr>
                <w:sz w:val="14"/>
              </w:rPr>
              <w:t>Technical reliability</w:t>
            </w:r>
          </w:p>
        </w:tc>
        <w:tc>
          <w:tcPr>
            <w:tcW w:type="dxa" w:w="2179"/>
            <w:vAlign w:val="top"/>
          </w:tcPr>
          <w:p>
            <w:r>
              <w:rPr>
                <w:sz w:val="14"/>
              </w:rPr>
              <w:t>Technical reliability: monthly rate per 1,000 eligible encounters.</w:t>
            </w:r>
          </w:p>
        </w:tc>
        <w:tc>
          <w:tcPr>
            <w:tcW w:type="dxa" w:w="2179"/>
            <w:vAlign w:val="top"/>
          </w:tcPr>
          <w:p>
            <w:r>
              <w:rPr>
                <w:sz w:val="14"/>
              </w:rPr>
              <w:t>Synthetic local baseline report; controlled dataset v1.2; evidence cut-off 2026-01-31.</w:t>
            </w:r>
          </w:p>
        </w:tc>
        <w:tc>
          <w:tcPr>
            <w:tcW w:type="dxa" w:w="2179"/>
            <w:vAlign w:val="top"/>
          </w:tcPr>
          <w:p>
            <w:r>
              <w:rPr>
                <w:sz w:val="14"/>
              </w:rPr>
              <w:t>Synthetic local baseline report; controlled dataset v1.2; evidence cut-off 2026-01-31.</w:t>
            </w:r>
          </w:p>
        </w:tc>
        <w:tc>
          <w:tcPr>
            <w:tcW w:type="dxa" w:w="2179"/>
            <w:vAlign w:val="top"/>
          </w:tcPr>
          <w:p>
            <w:r>
              <w:rPr>
                <w:sz w:val="14"/>
              </w:rPr>
              <w:t>Clinical service lead</w:t>
            </w:r>
          </w:p>
        </w:tc>
        <w:tc>
          <w:tcPr>
            <w:tcW w:type="dxa" w:w="2179"/>
            <w:vAlign w:val="top"/>
          </w:tcPr>
          <w:p>
            <w:r>
              <w:rPr>
                <w:sz w:val="14"/>
              </w:rPr>
              <w:t>Investigate if below the approved control limit.</w:t>
            </w:r>
          </w:p>
        </w:tc>
        <w:tc>
          <w:tcPr>
            <w:tcW w:type="dxa" w:w="2179"/>
            <w:vAlign w:val="top"/>
          </w:tcPr>
          <w:p>
            <w:r>
              <w:rPr>
                <w:sz w:val="14"/>
              </w:rPr>
              <w:t>Synthetic local baseline report; controlled dataset v1.2; evidence cut-off 2026-01-31.</w:t>
            </w:r>
          </w:p>
        </w:tc>
      </w:tr>
      <w:tr>
        <w:tc>
          <w:tcPr>
            <w:tcW w:type="dxa" w:w="2179"/>
            <w:vAlign w:val="top"/>
            <w:shd w:fill="EFEFEF"/>
          </w:tcPr>
          <w:p>
            <w:r>
              <w:rPr>
                <w:sz w:val="14"/>
              </w:rPr>
              <w:t>Model and human–AI performance</w:t>
            </w:r>
          </w:p>
        </w:tc>
        <w:tc>
          <w:tcPr>
            <w:tcW w:type="dxa" w:w="2179"/>
            <w:vAlign w:val="top"/>
          </w:tcPr>
          <w:p>
            <w:r>
              <w:rPr>
                <w:sz w:val="14"/>
              </w:rPr>
              <w:t>Model and human–AI performance: monthly rate per 1,000 eligible encounters.</w:t>
            </w:r>
          </w:p>
        </w:tc>
        <w:tc>
          <w:tcPr>
            <w:tcW w:type="dxa" w:w="2179"/>
            <w:vAlign w:val="top"/>
          </w:tcPr>
          <w:p>
            <w:r>
              <w:rPr>
                <w:sz w:val="14"/>
              </w:rPr>
              <w:t>Synthetic local baseline report; controlled dataset v1.2; evidence cut-off 2026-01-31.</w:t>
            </w:r>
          </w:p>
        </w:tc>
        <w:tc>
          <w:tcPr>
            <w:tcW w:type="dxa" w:w="2179"/>
            <w:vAlign w:val="top"/>
          </w:tcPr>
          <w:p>
            <w:r>
              <w:rPr>
                <w:sz w:val="14"/>
              </w:rPr>
              <w:t>Synthetic local baseline report; controlled dataset v1.2; evidence cut-off 2026-01-31.</w:t>
            </w:r>
          </w:p>
        </w:tc>
        <w:tc>
          <w:tcPr>
            <w:tcW w:type="dxa" w:w="2179"/>
            <w:vAlign w:val="top"/>
          </w:tcPr>
          <w:p>
            <w:r>
              <w:rPr>
                <w:sz w:val="14"/>
              </w:rPr>
              <w:t>Quality lead</w:t>
            </w:r>
          </w:p>
        </w:tc>
        <w:tc>
          <w:tcPr>
            <w:tcW w:type="dxa" w:w="2179"/>
            <w:vAlign w:val="top"/>
          </w:tcPr>
          <w:p>
            <w:r>
              <w:rPr>
                <w:sz w:val="14"/>
              </w:rPr>
              <w:t>Investigate if below the approved control limit.</w:t>
            </w:r>
          </w:p>
        </w:tc>
        <w:tc>
          <w:tcPr>
            <w:tcW w:type="dxa" w:w="2179"/>
            <w:vAlign w:val="top"/>
          </w:tcPr>
          <w:p>
            <w:r>
              <w:rPr>
                <w:sz w:val="14"/>
              </w:rPr>
              <w:t>Synthetic local baseline report; controlled dataset v1.2; evidence cut-off 2026-01-31.</w:t>
            </w:r>
          </w:p>
        </w:tc>
      </w:tr>
      <w:tr>
        <w:tc>
          <w:tcPr>
            <w:tcW w:type="dxa" w:w="2179"/>
            <w:vAlign w:val="top"/>
            <w:shd w:fill="EFEFEF"/>
          </w:tcPr>
          <w:p>
            <w:r>
              <w:rPr>
                <w:sz w:val="14"/>
              </w:rPr>
              <w:t>Clinical safety and outcome</w:t>
            </w:r>
          </w:p>
        </w:tc>
        <w:tc>
          <w:tcPr>
            <w:tcW w:type="dxa" w:w="2179"/>
            <w:vAlign w:val="top"/>
          </w:tcPr>
          <w:p>
            <w:r>
              <w:rPr>
                <w:sz w:val="14"/>
              </w:rPr>
              <w:t>Clinical safety and outcome: monthly rate per 1,000 eligible encounters.</w:t>
            </w:r>
          </w:p>
        </w:tc>
        <w:tc>
          <w:tcPr>
            <w:tcW w:type="dxa" w:w="2179"/>
            <w:vAlign w:val="top"/>
          </w:tcPr>
          <w:p>
            <w:r>
              <w:rPr>
                <w:sz w:val="14"/>
              </w:rPr>
              <w:t>Synthetic local baseline report; controlled dataset v1.2; evidence cut-off 2026-01-31.</w:t>
            </w:r>
          </w:p>
        </w:tc>
        <w:tc>
          <w:tcPr>
            <w:tcW w:type="dxa" w:w="2179"/>
            <w:vAlign w:val="top"/>
          </w:tcPr>
          <w:p>
            <w:r>
              <w:rPr>
                <w:sz w:val="14"/>
              </w:rPr>
              <w:t>Synthetic local baseline report; controlled dataset v1.2; evidence cut-off 2026-01-31.</w:t>
            </w:r>
          </w:p>
        </w:tc>
        <w:tc>
          <w:tcPr>
            <w:tcW w:type="dxa" w:w="2179"/>
            <w:vAlign w:val="top"/>
          </w:tcPr>
          <w:p>
            <w:r>
              <w:rPr>
                <w:sz w:val="14"/>
              </w:rPr>
              <w:t>Data steward</w:t>
            </w:r>
          </w:p>
        </w:tc>
        <w:tc>
          <w:tcPr>
            <w:tcW w:type="dxa" w:w="2179"/>
            <w:vAlign w:val="top"/>
          </w:tcPr>
          <w:p>
            <w:r>
              <w:rPr>
                <w:sz w:val="14"/>
              </w:rPr>
              <w:t>Investigate if below the approved control limit.</w:t>
            </w:r>
          </w:p>
        </w:tc>
        <w:tc>
          <w:tcPr>
            <w:tcW w:type="dxa" w:w="2179"/>
            <w:vAlign w:val="top"/>
          </w:tcPr>
          <w:p>
            <w:r>
              <w:rPr>
                <w:sz w:val="14"/>
              </w:rPr>
              <w:t>Synthetic local baseline report; controlled dataset v1.2; evidence cut-off 2026-01-31.</w:t>
            </w:r>
          </w:p>
        </w:tc>
      </w:tr>
      <w:tr>
        <w:tc>
          <w:tcPr>
            <w:tcW w:type="dxa" w:w="2179"/>
            <w:vAlign w:val="top"/>
            <w:shd w:fill="EFEFEF"/>
          </w:tcPr>
          <w:p>
            <w:r>
              <w:rPr>
                <w:sz w:val="14"/>
              </w:rPr>
              <w:t>Workflow and professional practice</w:t>
            </w:r>
          </w:p>
        </w:tc>
        <w:tc>
          <w:tcPr>
            <w:tcW w:type="dxa" w:w="2179"/>
            <w:vAlign w:val="top"/>
          </w:tcPr>
          <w:p>
            <w:r>
              <w:rPr>
                <w:sz w:val="14"/>
              </w:rPr>
              <w:t>Workflow and professional practice: monthly rate per 1,000 eligible encounters.</w:t>
            </w:r>
          </w:p>
        </w:tc>
        <w:tc>
          <w:tcPr>
            <w:tcW w:type="dxa" w:w="2179"/>
            <w:vAlign w:val="top"/>
          </w:tcPr>
          <w:p>
            <w:r>
              <w:rPr>
                <w:sz w:val="14"/>
              </w:rPr>
              <w:t>Synthetic local baseline report; controlled dataset v1.2; evidence cut-off 2026-01-31.</w:t>
            </w:r>
          </w:p>
        </w:tc>
        <w:tc>
          <w:tcPr>
            <w:tcW w:type="dxa" w:w="2179"/>
            <w:vAlign w:val="top"/>
          </w:tcPr>
          <w:p>
            <w:r>
              <w:rPr>
                <w:sz w:val="14"/>
              </w:rPr>
              <w:t>Synthetic local baseline report; controlled dataset v1.2; evidence cut-off 2026-01-31.</w:t>
            </w:r>
          </w:p>
        </w:tc>
        <w:tc>
          <w:tcPr>
            <w:tcW w:type="dxa" w:w="2179"/>
            <w:vAlign w:val="top"/>
          </w:tcPr>
          <w:p>
            <w:r>
              <w:rPr>
                <w:sz w:val="14"/>
              </w:rPr>
              <w:t>Health economist</w:t>
            </w:r>
          </w:p>
        </w:tc>
        <w:tc>
          <w:tcPr>
            <w:tcW w:type="dxa" w:w="2179"/>
            <w:vAlign w:val="top"/>
          </w:tcPr>
          <w:p>
            <w:r>
              <w:rPr>
                <w:sz w:val="14"/>
              </w:rPr>
              <w:t>Investigate if below the approved control limit.</w:t>
            </w:r>
          </w:p>
        </w:tc>
        <w:tc>
          <w:tcPr>
            <w:tcW w:type="dxa" w:w="2179"/>
            <w:vAlign w:val="top"/>
          </w:tcPr>
          <w:p>
            <w:r>
              <w:rPr>
                <w:sz w:val="14"/>
              </w:rPr>
              <w:t>Synthetic local baseline report; controlled dataset v1.2; evidence cut-off 2026-01-31.</w:t>
            </w:r>
          </w:p>
        </w:tc>
      </w:tr>
      <w:tr>
        <w:tc>
          <w:tcPr>
            <w:tcW w:type="dxa" w:w="2179"/>
            <w:vAlign w:val="top"/>
            <w:shd w:fill="EFEFEF"/>
          </w:tcPr>
          <w:p>
            <w:r>
              <w:rPr>
                <w:sz w:val="14"/>
              </w:rPr>
              <w:t>Patient experience and communication</w:t>
            </w:r>
          </w:p>
        </w:tc>
        <w:tc>
          <w:tcPr>
            <w:tcW w:type="dxa" w:w="2179"/>
            <w:vAlign w:val="top"/>
          </w:tcPr>
          <w:p>
            <w:r>
              <w:rPr>
                <w:sz w:val="14"/>
              </w:rPr>
              <w:t>Patient experience and communication: monthly rate per 1,000 eligible encounters.</w:t>
            </w:r>
          </w:p>
        </w:tc>
        <w:tc>
          <w:tcPr>
            <w:tcW w:type="dxa" w:w="2179"/>
            <w:vAlign w:val="top"/>
          </w:tcPr>
          <w:p>
            <w:r>
              <w:rPr>
                <w:sz w:val="14"/>
              </w:rPr>
              <w:t>Synthetic local baseline report; controlled dataset v1.2; evidence cut-off 2026-01-31.</w:t>
            </w:r>
          </w:p>
        </w:tc>
        <w:tc>
          <w:tcPr>
            <w:tcW w:type="dxa" w:w="2179"/>
            <w:vAlign w:val="top"/>
          </w:tcPr>
          <w:p>
            <w:r>
              <w:rPr>
                <w:sz w:val="14"/>
              </w:rPr>
              <w:t>Synthetic local baseline report; controlled dataset v1.2; evidence cut-off 2026-01-31.</w:t>
            </w:r>
          </w:p>
        </w:tc>
        <w:tc>
          <w:tcPr>
            <w:tcW w:type="dxa" w:w="2179"/>
            <w:vAlign w:val="top"/>
          </w:tcPr>
          <w:p>
            <w:r>
              <w:rPr>
                <w:sz w:val="14"/>
              </w:rPr>
              <w:t>Procurement lead</w:t>
            </w:r>
          </w:p>
        </w:tc>
        <w:tc>
          <w:tcPr>
            <w:tcW w:type="dxa" w:w="2179"/>
            <w:vAlign w:val="top"/>
          </w:tcPr>
          <w:p>
            <w:r>
              <w:rPr>
                <w:sz w:val="14"/>
              </w:rPr>
              <w:t>Investigate if below the approved control limit.</w:t>
            </w:r>
          </w:p>
        </w:tc>
        <w:tc>
          <w:tcPr>
            <w:tcW w:type="dxa" w:w="2179"/>
            <w:vAlign w:val="top"/>
          </w:tcPr>
          <w:p>
            <w:r>
              <w:rPr>
                <w:sz w:val="14"/>
              </w:rPr>
              <w:t>Synthetic local baseline report; controlled dataset v1.2; evidence cut-off 2026-01-31.</w:t>
            </w:r>
          </w:p>
        </w:tc>
      </w:tr>
      <w:tr>
        <w:tc>
          <w:tcPr>
            <w:tcW w:type="dxa" w:w="2179"/>
            <w:vAlign w:val="top"/>
            <w:shd w:fill="EFEFEF"/>
          </w:tcPr>
          <w:p>
            <w:r>
              <w:rPr>
                <w:sz w:val="14"/>
              </w:rPr>
              <w:t>Equity and access</w:t>
            </w:r>
          </w:p>
        </w:tc>
        <w:tc>
          <w:tcPr>
            <w:tcW w:type="dxa" w:w="2179"/>
            <w:vAlign w:val="top"/>
          </w:tcPr>
          <w:p>
            <w:r>
              <w:rPr>
                <w:sz w:val="14"/>
              </w:rPr>
              <w:t>Equity and access: monthly rate per 1,000 eligible encounters.</w:t>
            </w:r>
          </w:p>
        </w:tc>
        <w:tc>
          <w:tcPr>
            <w:tcW w:type="dxa" w:w="2179"/>
            <w:vAlign w:val="top"/>
          </w:tcPr>
          <w:p>
            <w:r>
              <w:rPr>
                <w:sz w:val="14"/>
              </w:rPr>
              <w:t>Synthetic local baseline report; controlled dataset v1.2; evidence cut-off 2026-01-31.</w:t>
            </w:r>
          </w:p>
        </w:tc>
        <w:tc>
          <w:tcPr>
            <w:tcW w:type="dxa" w:w="2179"/>
            <w:vAlign w:val="top"/>
          </w:tcPr>
          <w:p>
            <w:r>
              <w:rPr>
                <w:sz w:val="14"/>
              </w:rPr>
              <w:t>Synthetic local baseline report; controlled dataset v1.2; evidence cut-off 2026-01-31.</w:t>
            </w:r>
          </w:p>
        </w:tc>
        <w:tc>
          <w:tcPr>
            <w:tcW w:type="dxa" w:w="2179"/>
            <w:vAlign w:val="top"/>
          </w:tcPr>
          <w:p>
            <w:r>
              <w:rPr>
                <w:sz w:val="14"/>
              </w:rPr>
              <w:t>Clinical service lead</w:t>
            </w:r>
          </w:p>
        </w:tc>
        <w:tc>
          <w:tcPr>
            <w:tcW w:type="dxa" w:w="2179"/>
            <w:vAlign w:val="top"/>
          </w:tcPr>
          <w:p>
            <w:r>
              <w:rPr>
                <w:sz w:val="14"/>
              </w:rPr>
              <w:t>Investigate if below the approved control limit.</w:t>
            </w:r>
          </w:p>
        </w:tc>
        <w:tc>
          <w:tcPr>
            <w:tcW w:type="dxa" w:w="2179"/>
            <w:vAlign w:val="top"/>
          </w:tcPr>
          <w:p>
            <w:r>
              <w:rPr>
                <w:sz w:val="14"/>
              </w:rPr>
              <w:t>Synthetic local baseline report; controlled dataset v1.2; evidence cut-off 2026-01-31.</w:t>
            </w:r>
          </w:p>
        </w:tc>
      </w:tr>
      <w:tr>
        <w:tc>
          <w:tcPr>
            <w:tcW w:type="dxa" w:w="2179"/>
            <w:vAlign w:val="top"/>
            <w:shd w:fill="EFEFEF"/>
          </w:tcPr>
          <w:p>
            <w:r>
              <w:rPr>
                <w:sz w:val="14"/>
              </w:rPr>
              <w:t>Economic and resource value</w:t>
            </w:r>
          </w:p>
        </w:tc>
        <w:tc>
          <w:tcPr>
            <w:tcW w:type="dxa" w:w="2179"/>
            <w:vAlign w:val="top"/>
          </w:tcPr>
          <w:p>
            <w:r>
              <w:rPr>
                <w:sz w:val="14"/>
              </w:rPr>
              <w:t>Economic and resource value: monthly rate per 1,000 eligible encounters.</w:t>
            </w:r>
          </w:p>
        </w:tc>
        <w:tc>
          <w:tcPr>
            <w:tcW w:type="dxa" w:w="2179"/>
            <w:vAlign w:val="top"/>
          </w:tcPr>
          <w:p>
            <w:r>
              <w:rPr>
                <w:sz w:val="14"/>
              </w:rPr>
              <w:t>Synthetic local baseline report; controlled dataset v1.2; evidence cut-off 2026-01-31.</w:t>
            </w:r>
          </w:p>
        </w:tc>
        <w:tc>
          <w:tcPr>
            <w:tcW w:type="dxa" w:w="2179"/>
            <w:vAlign w:val="top"/>
          </w:tcPr>
          <w:p>
            <w:r>
              <w:rPr>
                <w:sz w:val="14"/>
              </w:rPr>
              <w:t>Synthetic local baseline report; controlled dataset v1.2; evidence cut-off 2026-01-31.</w:t>
            </w:r>
          </w:p>
        </w:tc>
        <w:tc>
          <w:tcPr>
            <w:tcW w:type="dxa" w:w="2179"/>
            <w:vAlign w:val="top"/>
          </w:tcPr>
          <w:p>
            <w:r>
              <w:rPr>
                <w:sz w:val="14"/>
              </w:rPr>
              <w:t>Quality lead</w:t>
            </w:r>
          </w:p>
        </w:tc>
        <w:tc>
          <w:tcPr>
            <w:tcW w:type="dxa" w:w="2179"/>
            <w:vAlign w:val="top"/>
          </w:tcPr>
          <w:p>
            <w:r>
              <w:rPr>
                <w:sz w:val="14"/>
              </w:rPr>
              <w:t>Investigate if below the approved control limit.</w:t>
            </w:r>
          </w:p>
        </w:tc>
        <w:tc>
          <w:tcPr>
            <w:tcW w:type="dxa" w:w="2179"/>
            <w:vAlign w:val="top"/>
          </w:tcPr>
          <w:p>
            <w:r>
              <w:rPr>
                <w:sz w:val="14"/>
              </w:rPr>
              <w:t>Synthetic local baseline report; controlled dataset v1.2; evidence cut-off 2026-01-31.</w:t>
            </w:r>
          </w:p>
        </w:tc>
      </w:tr>
      <w:tr>
        <w:tc>
          <w:tcPr>
            <w:tcW w:type="dxa" w:w="2179"/>
            <w:vAlign w:val="top"/>
            <w:shd w:fill="EFEFEF"/>
          </w:tcPr>
          <w:p>
            <w:r>
              <w:rPr>
                <w:sz w:val="14"/>
              </w:rPr>
              <w:t>Governance and documentation</w:t>
            </w:r>
          </w:p>
        </w:tc>
        <w:tc>
          <w:tcPr>
            <w:tcW w:type="dxa" w:w="2179"/>
            <w:vAlign w:val="top"/>
          </w:tcPr>
          <w:p>
            <w:r>
              <w:rPr>
                <w:sz w:val="14"/>
              </w:rPr>
              <w:t>Governance and documentation: monthly rate per 1,000 eligible encounters.</w:t>
            </w:r>
          </w:p>
        </w:tc>
        <w:tc>
          <w:tcPr>
            <w:tcW w:type="dxa" w:w="2179"/>
            <w:vAlign w:val="top"/>
          </w:tcPr>
          <w:p>
            <w:r>
              <w:rPr>
                <w:sz w:val="14"/>
              </w:rPr>
              <w:t>Synthetic local baseline report; controlled dataset v1.2; evidence cut-off 2026-01-31.</w:t>
            </w:r>
          </w:p>
        </w:tc>
        <w:tc>
          <w:tcPr>
            <w:tcW w:type="dxa" w:w="2179"/>
            <w:vAlign w:val="top"/>
          </w:tcPr>
          <w:p>
            <w:r>
              <w:rPr>
                <w:sz w:val="14"/>
              </w:rPr>
              <w:t>Synthetic local baseline report; controlled dataset v1.2; evidence cut-off 2026-01-31.</w:t>
            </w:r>
          </w:p>
        </w:tc>
        <w:tc>
          <w:tcPr>
            <w:tcW w:type="dxa" w:w="2179"/>
            <w:vAlign w:val="top"/>
          </w:tcPr>
          <w:p>
            <w:r>
              <w:rPr>
                <w:sz w:val="14"/>
              </w:rPr>
              <w:t>Data steward</w:t>
            </w:r>
          </w:p>
        </w:tc>
        <w:tc>
          <w:tcPr>
            <w:tcW w:type="dxa" w:w="2179"/>
            <w:vAlign w:val="top"/>
          </w:tcPr>
          <w:p>
            <w:r>
              <w:rPr>
                <w:sz w:val="14"/>
              </w:rPr>
              <w:t>Investigate if below the approved control limit.</w:t>
            </w:r>
          </w:p>
        </w:tc>
        <w:tc>
          <w:tcPr>
            <w:tcW w:type="dxa" w:w="2179"/>
            <w:vAlign w:val="top"/>
          </w:tcPr>
          <w:p>
            <w:r>
              <w:rPr>
                <w:sz w:val="14"/>
              </w:rPr>
              <w:t>Synthetic local baseline report; controlled dataset v1.2; evidence cut-off 2026-01-31.</w:t>
            </w:r>
          </w:p>
        </w:tc>
      </w:tr>
    </w:tbl>
    <w:sectPr w:rsidR="00FC693F" w:rsidRPr="0006063C" w:rsidSect="00034616">
      <w:footerReference w:type="default" r:id="rId9"/>
      <w:headerReference w:type="default" r:id="rId10"/>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AIHE-C01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