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t>Corrective and Preventive Action Record</w:t>
      </w:r>
    </w:p>
    <w:p>
      <w:pPr>
        <w:jc w:val="centre"/>
      </w:pPr>
      <w:r>
        <w:rPr>
          <w:b/>
          <w:color w:val="7A2334"/>
        </w:rPr>
        <w:t>AIHE-C02</w:t>
      </w:r>
    </w:p>
    <w:p>
      <w:pPr>
        <w:spacing w:after="40"/>
      </w:pPr>
      <w:r>
        <w:rPr>
          <w:b/>
        </w:rPr>
        <w:t xml:space="preserve">Primary chapter: </w:t>
      </w:r>
      <w:r>
        <w:t>5 — Quality Management, Accreditation, and Organizational Learning</w:t>
      </w:r>
    </w:p>
    <w:p>
      <w:pPr>
        <w:spacing w:after="40"/>
      </w:pPr>
      <w:r>
        <w:rPr>
          <w:b/>
        </w:rPr>
        <w:t xml:space="preserve">Additional chapter alignment: </w:t>
      </w:r>
      <w:r>
        <w:t>5, 10, 12</w:t>
      </w:r>
    </w:p>
    <w:p>
      <w:pPr>
        <w:spacing w:after="40"/>
      </w:pPr>
      <w:r>
        <w:rPr>
          <w:b/>
        </w:rPr>
        <w:t xml:space="preserve">Legacy aliases: </w:t>
      </w:r>
      <w:r>
        <w:t>None</w:t>
      </w:r>
    </w:p>
    <w:p>
      <w:pPr>
        <w:spacing w:after="40"/>
      </w:pPr>
      <w:r>
        <w:rPr>
          <w:b/>
        </w:rPr>
        <w:t xml:space="preserve">Version: </w:t>
      </w:r>
      <w:r>
        <w:t>V1.0</w:t>
      </w:r>
    </w:p>
    <w:p>
      <w:pPr>
        <w:pStyle w:val="Heading1"/>
      </w:pPr>
      <w:r>
        <w:t>Purpose</w:t>
      </w:r>
    </w:p>
    <w:p>
      <w:r>
        <w:t>Document nonconformity, containment, causal analysis, corrective and preventive action, effectiveness, residual risk, and closure.</w:t>
      </w:r>
    </w:p>
    <w:p>
      <w:pPr>
        <w:pStyle w:val="Heading1"/>
      </w:pPr>
      <w:r>
        <w:t>Instructions</w:t>
      </w:r>
    </w:p>
    <w:p>
      <w:pPr>
        <w:pStyle w:val="ListBullet"/>
      </w:pPr>
      <w:r>
        <w:t>Create a controlled project copy before entering institutional information.</w:t>
      </w:r>
    </w:p>
    <w:p>
      <w:pPr>
        <w:pStyle w:val="ListBullet"/>
      </w:pPr>
      <w:r>
        <w:t>Complete the record with the people who own the decision, evidence, workflow, budget, safeguards, and follow-up actions.</w:t>
      </w:r>
    </w:p>
    <w:p>
      <w:pPr>
        <w:pStyle w:val="ListBullet"/>
      </w:pPr>
      <w:r>
        <w:t>Distinguish documented evidence from assumptions, unresolved questions, and planned evidence collection.</w:t>
      </w:r>
    </w:p>
    <w:p>
      <w:pPr>
        <w:pStyle w:val="ListBullet"/>
      </w:pPr>
      <w:r>
        <w:t>Record the system and version, intended use, population, setting, comparator, evidence cut-off, accountable owner, decision conditions, review triggers, and exit or renewal criteria.</w:t>
      </w:r>
    </w:p>
    <w:p>
      <w:pPr>
        <w:pStyle w:val="ListBullet"/>
      </w:pPr>
      <w:r>
        <w:t>Do not enter identifiable patient information, credentials, private keys, or confidential contract details into uncontrolled copies.</w:t>
      </w:r>
    </w:p>
    <w:p>
      <w:pPr>
        <w:pStyle w:val="Heading1"/>
      </w:pPr>
      <w:r>
        <w:t>Status and limitations</w:t>
      </w:r>
    </w:p>
    <w:p>
      <w:r>
        <w:t>This resource is a structured decision-support and notes aid. It is not a validated clinical instrument, legal opinion, regulatory approval, accreditation decision, cybersecurity certification, procurement authorization, or health technology assessment. Adapt it to the applicable jurisdiction, institution, population, workflow, evidence base, and accountable authority.</w:t>
      </w:r>
    </w:p>
    <w:p>
      <w:pPr>
        <w:pStyle w:val="Heading1"/>
      </w:pPr>
      <w:r>
        <w:t>Blank institutional template</w:t>
      </w:r>
    </w:p>
    <w:tbl>
      <w:tblPr>
        <w:tblStyle w:val="TableGrid"/>
        <w:tblW w:type="auto" w:w="0"/>
        <w:jc w:val="centre"/>
        <w:tblLook w:firstColumn="1" w:firstRow="1" w:lastColumn="0" w:lastRow="0" w:noHBand="0" w:noVBand="1" w:val="04A0"/>
      </w:tblPr>
      <w:tblGrid>
        <w:gridCol w:w="3360"/>
        <w:gridCol w:w="3360"/>
        <w:gridCol w:w="3360"/>
      </w:tblGrid>
      <w:tr>
        <w:trPr>
          <w:tblHeader w:val="true"/>
        </w:trPr>
        <w:tc>
          <w:tcPr>
            <w:tcW w:type="dxa" w:w="3360"/>
            <w:shd w:fill="7A2334"/>
          </w:tcPr>
          <w:p>
            <w:r>
              <w:rPr>
                <w:b/>
                <w:color w:val="FFFFFF"/>
                <w:sz w:val="18"/>
              </w:rPr>
              <w:t>Field</w:t>
            </w:r>
          </w:p>
        </w:tc>
        <w:tc>
          <w:tcPr>
            <w:tcW w:type="dxa" w:w="3360"/>
            <w:shd w:fill="7A2334"/>
          </w:tcPr>
          <w:p>
            <w:r>
              <w:rPr>
                <w:b/>
                <w:color w:val="FFFFFF"/>
                <w:sz w:val="18"/>
              </w:rPr>
              <w:t>Guidance</w:t>
            </w:r>
          </w:p>
        </w:tc>
        <w:tc>
          <w:tcPr>
            <w:tcW w:type="dxa" w:w="3360"/>
            <w:shd w:fill="7A2334"/>
          </w:tcPr>
          <w:p>
            <w:r>
              <w:rPr>
                <w:b/>
                <w:color w:val="FFFFFF"/>
                <w:sz w:val="18"/>
              </w:rPr>
              <w:t>Institutional response</w:t>
            </w:r>
          </w:p>
        </w:tc>
      </w:tr>
      <w:tr>
        <w:tc>
          <w:tcPr>
            <w:tcW w:type="dxa" w:w="3360"/>
            <w:vAlign w:val="top"/>
            <w:shd w:fill="F2E8EB"/>
          </w:tcPr>
          <w:p>
            <w:r>
              <w:rPr>
                <w:sz w:val="17"/>
              </w:rPr>
              <w:t>Signal or nonconformity</w:t>
            </w:r>
          </w:p>
        </w:tc>
        <w:tc>
          <w:tcPr>
            <w:tcW w:type="dxa" w:w="3360"/>
            <w:vAlign w:val="top"/>
          </w:tcPr>
          <w:p>
            <w:r>
              <w:rPr>
                <w:sz w:val="17"/>
              </w:rPr>
              <w:t>Describe the indicator, incident, complaint, audit finding, accreditation gap, or threshold breach.</w:t>
            </w:r>
          </w:p>
        </w:tc>
        <w:tc>
          <w:tcPr>
            <w:tcW w:type="dxa" w:w="3360"/>
            <w:vAlign w:val="top"/>
          </w:tcPr>
          <w:p>
            <w:r>
              <w:rPr>
                <w:sz w:val="17"/>
              </w:rPr>
            </w:r>
          </w:p>
        </w:tc>
      </w:tr>
      <w:tr>
        <w:tc>
          <w:tcPr>
            <w:tcW w:type="dxa" w:w="3360"/>
            <w:vAlign w:val="top"/>
            <w:shd w:fill="F2E8EB"/>
          </w:tcPr>
          <w:p>
            <w:r>
              <w:rPr>
                <w:sz w:val="17"/>
              </w:rPr>
              <w:t>Immediate containment</w:t>
            </w:r>
          </w:p>
        </w:tc>
        <w:tc>
          <w:tcPr>
            <w:tcW w:type="dxa" w:w="3360"/>
            <w:vAlign w:val="top"/>
          </w:tcPr>
          <w:p>
            <w:r>
              <w:rPr>
                <w:sz w:val="17"/>
              </w:rPr>
              <w:t>Record patient, workforce, data, service, and continuity protections, including restriction or pause.</w:t>
            </w:r>
          </w:p>
        </w:tc>
        <w:tc>
          <w:tcPr>
            <w:tcW w:type="dxa" w:w="3360"/>
            <w:vAlign w:val="top"/>
          </w:tcPr>
          <w:p>
            <w:r>
              <w:rPr>
                <w:sz w:val="17"/>
              </w:rPr>
            </w:r>
          </w:p>
        </w:tc>
      </w:tr>
      <w:tr>
        <w:tc>
          <w:tcPr>
            <w:tcW w:type="dxa" w:w="3360"/>
            <w:vAlign w:val="top"/>
            <w:shd w:fill="F2E8EB"/>
          </w:tcPr>
          <w:p>
            <w:r>
              <w:rPr>
                <w:sz w:val="17"/>
              </w:rPr>
              <w:t>Reconstruction</w:t>
            </w:r>
          </w:p>
        </w:tc>
        <w:tc>
          <w:tcPr>
            <w:tcW w:type="dxa" w:w="3360"/>
            <w:vAlign w:val="top"/>
          </w:tcPr>
          <w:p>
            <w:r>
              <w:rPr>
                <w:sz w:val="17"/>
              </w:rPr>
              <w:t>Preserve data state, model and software version, output, human action, timing, workload, and context.</w:t>
            </w:r>
          </w:p>
        </w:tc>
        <w:tc>
          <w:tcPr>
            <w:tcW w:type="dxa" w:w="3360"/>
            <w:vAlign w:val="top"/>
          </w:tcPr>
          <w:p>
            <w:r>
              <w:rPr>
                <w:sz w:val="17"/>
              </w:rPr>
            </w:r>
          </w:p>
        </w:tc>
      </w:tr>
      <w:tr>
        <w:tc>
          <w:tcPr>
            <w:tcW w:type="dxa" w:w="3360"/>
            <w:vAlign w:val="top"/>
            <w:shd w:fill="F2E8EB"/>
          </w:tcPr>
          <w:p>
            <w:r>
              <w:rPr>
                <w:sz w:val="17"/>
              </w:rPr>
              <w:t>Causal analysis</w:t>
            </w:r>
          </w:p>
        </w:tc>
        <w:tc>
          <w:tcPr>
            <w:tcW w:type="dxa" w:w="3360"/>
            <w:vAlign w:val="top"/>
          </w:tcPr>
          <w:p>
            <w:r>
              <w:rPr>
                <w:sz w:val="17"/>
              </w:rPr>
              <w:t>Identify confirmed and competing technical, clinical, workflow, organizational, and governance causes.</w:t>
            </w:r>
          </w:p>
        </w:tc>
        <w:tc>
          <w:tcPr>
            <w:tcW w:type="dxa" w:w="3360"/>
            <w:vAlign w:val="top"/>
          </w:tcPr>
          <w:p>
            <w:r>
              <w:rPr>
                <w:sz w:val="17"/>
              </w:rPr>
            </w:r>
          </w:p>
        </w:tc>
      </w:tr>
      <w:tr>
        <w:tc>
          <w:tcPr>
            <w:tcW w:type="dxa" w:w="3360"/>
            <w:vAlign w:val="top"/>
            <w:shd w:fill="F2E8EB"/>
          </w:tcPr>
          <w:p>
            <w:r>
              <w:rPr>
                <w:sz w:val="17"/>
              </w:rPr>
              <w:t>Corrective action</w:t>
            </w:r>
          </w:p>
        </w:tc>
        <w:tc>
          <w:tcPr>
            <w:tcW w:type="dxa" w:w="3360"/>
            <w:vAlign w:val="top"/>
          </w:tcPr>
          <w:p>
            <w:r>
              <w:rPr>
                <w:sz w:val="17"/>
              </w:rPr>
              <w:t>Define action, responsible owner, due date, revalidation, communication, and contract or vendor response.</w:t>
            </w:r>
          </w:p>
        </w:tc>
        <w:tc>
          <w:tcPr>
            <w:tcW w:type="dxa" w:w="3360"/>
            <w:vAlign w:val="top"/>
          </w:tcPr>
          <w:p>
            <w:r>
              <w:rPr>
                <w:sz w:val="17"/>
              </w:rPr>
            </w:r>
          </w:p>
        </w:tc>
      </w:tr>
      <w:tr>
        <w:tc>
          <w:tcPr>
            <w:tcW w:type="dxa" w:w="3360"/>
            <w:vAlign w:val="top"/>
            <w:shd w:fill="F2E8EB"/>
          </w:tcPr>
          <w:p>
            <w:r>
              <w:rPr>
                <w:sz w:val="17"/>
              </w:rPr>
              <w:t>Preventive action</w:t>
            </w:r>
          </w:p>
        </w:tc>
        <w:tc>
          <w:tcPr>
            <w:tcW w:type="dxa" w:w="3360"/>
            <w:vAlign w:val="top"/>
          </w:tcPr>
          <w:p>
            <w:r>
              <w:rPr>
                <w:sz w:val="17"/>
              </w:rPr>
              <w:t>Identify controls intended to prevent recurrence in this and related systems.</w:t>
            </w:r>
          </w:p>
        </w:tc>
        <w:tc>
          <w:tcPr>
            <w:tcW w:type="dxa" w:w="3360"/>
            <w:vAlign w:val="top"/>
          </w:tcPr>
          <w:p>
            <w:r>
              <w:rPr>
                <w:sz w:val="17"/>
              </w:rPr>
            </w:r>
          </w:p>
        </w:tc>
      </w:tr>
      <w:tr>
        <w:tc>
          <w:tcPr>
            <w:tcW w:type="dxa" w:w="3360"/>
            <w:vAlign w:val="top"/>
            <w:shd w:fill="F2E8EB"/>
          </w:tcPr>
          <w:p>
            <w:r>
              <w:rPr>
                <w:sz w:val="17"/>
              </w:rPr>
              <w:t>Effectiveness check</w:t>
            </w:r>
          </w:p>
        </w:tc>
        <w:tc>
          <w:tcPr>
            <w:tcW w:type="dxa" w:w="3360"/>
            <w:vAlign w:val="top"/>
          </w:tcPr>
          <w:p>
            <w:r>
              <w:rPr>
                <w:sz w:val="17"/>
              </w:rPr>
              <w:t>Define evidence, observation period, threshold, independent review, and residual uncertainty.</w:t>
            </w:r>
          </w:p>
        </w:tc>
        <w:tc>
          <w:tcPr>
            <w:tcW w:type="dxa" w:w="3360"/>
            <w:vAlign w:val="top"/>
          </w:tcPr>
          <w:p>
            <w:r>
              <w:rPr>
                <w:sz w:val="17"/>
              </w:rPr>
            </w:r>
          </w:p>
        </w:tc>
      </w:tr>
      <w:tr>
        <w:tc>
          <w:tcPr>
            <w:tcW w:type="dxa" w:w="3360"/>
            <w:vAlign w:val="top"/>
            <w:shd w:fill="F2E8EB"/>
          </w:tcPr>
          <w:p>
            <w:r>
              <w:rPr>
                <w:sz w:val="17"/>
              </w:rPr>
              <w:t>Closure authority</w:t>
            </w:r>
          </w:p>
        </w:tc>
        <w:tc>
          <w:tcPr>
            <w:tcW w:type="dxa" w:w="3360"/>
            <w:vAlign w:val="top"/>
          </w:tcPr>
          <w:p>
            <w:r>
              <w:rPr>
                <w:sz w:val="17"/>
              </w:rPr>
              <w:t>Record decision, date, dissent, residual risk, and next review.</w:t>
            </w:r>
          </w:p>
        </w:tc>
        <w:tc>
          <w:tcPr>
            <w:tcW w:type="dxa" w:w="3360"/>
            <w:vAlign w:val="top"/>
          </w:tcPr>
          <w:p>
            <w:r>
              <w:rPr>
                <w:sz w:val="17"/>
              </w:rPr>
            </w:r>
          </w:p>
        </w:tc>
      </w:tr>
    </w:tbl>
    <w:p>
      <w:r/>
    </w:p>
    <w:p>
      <w:pPr>
        <w:pStyle w:val="Heading1"/>
      </w:pPr>
      <w:r>
        <w:t>Worked synthetic example</w:t>
      </w:r>
    </w:p>
    <w:p>
      <w:r>
        <w:t>This example demonstrates completion logic only. It is not an empirical finding and should not be reused as institutional evidence.</w:t>
      </w:r>
    </w:p>
    <w:tbl>
      <w:tblPr>
        <w:tblStyle w:val="TableGrid"/>
        <w:tblW w:type="auto" w:w="0"/>
        <w:jc w:val="centre"/>
        <w:tblLook w:firstColumn="1" w:firstRow="1" w:lastColumn="0" w:lastRow="0" w:noHBand="0" w:noVBand="1" w:val="04A0"/>
      </w:tblPr>
      <w:tblGrid>
        <w:gridCol w:w="3360"/>
        <w:gridCol w:w="3360"/>
        <w:gridCol w:w="3360"/>
      </w:tblGrid>
      <w:tr>
        <w:trPr>
          <w:tblHeader w:val="true"/>
        </w:trPr>
        <w:tc>
          <w:tcPr>
            <w:tcW w:type="dxa" w:w="3360"/>
            <w:shd w:fill="52565A"/>
          </w:tcPr>
          <w:p>
            <w:r>
              <w:rPr>
                <w:b/>
                <w:color w:val="FFFFFF"/>
                <w:sz w:val="18"/>
              </w:rPr>
              <w:t>Field</w:t>
            </w:r>
          </w:p>
        </w:tc>
        <w:tc>
          <w:tcPr>
            <w:tcW w:type="dxa" w:w="3360"/>
            <w:shd w:fill="52565A"/>
          </w:tcPr>
          <w:p>
            <w:r>
              <w:rPr>
                <w:b/>
                <w:color w:val="FFFFFF"/>
                <w:sz w:val="18"/>
              </w:rPr>
              <w:t>Guidance</w:t>
            </w:r>
          </w:p>
        </w:tc>
        <w:tc>
          <w:tcPr>
            <w:tcW w:type="dxa" w:w="3360"/>
            <w:shd w:fill="52565A"/>
          </w:tcPr>
          <w:p>
            <w:r>
              <w:rPr>
                <w:b/>
                <w:color w:val="FFFFFF"/>
                <w:sz w:val="18"/>
              </w:rPr>
              <w:t>Institutional response</w:t>
            </w:r>
          </w:p>
        </w:tc>
      </w:tr>
      <w:tr>
        <w:tc>
          <w:tcPr>
            <w:tcW w:type="dxa" w:w="3360"/>
            <w:vAlign w:val="top"/>
            <w:shd w:fill="EFEFEF"/>
          </w:tcPr>
          <w:p>
            <w:r>
              <w:rPr>
                <w:sz w:val="17"/>
              </w:rPr>
              <w:t>Signal or nonconformity</w:t>
            </w:r>
          </w:p>
        </w:tc>
        <w:tc>
          <w:tcPr>
            <w:tcW w:type="dxa" w:w="3360"/>
            <w:vAlign w:val="top"/>
          </w:tcPr>
          <w:p>
            <w:r>
              <w:rPr>
                <w:sz w:val="17"/>
              </w:rPr>
              <w:t>Describe the indicator, incident, complaint, audit finding, accreditation gap, or threshold breach.</w:t>
            </w:r>
          </w:p>
        </w:tc>
        <w:tc>
          <w:tcPr>
            <w:tcW w:type="dxa" w:w="3360"/>
            <w:vAlign w:val="top"/>
          </w:tcPr>
          <w:p>
            <w:r>
              <w:rPr>
                <w:sz w:val="17"/>
              </w:rPr>
              <w:t>Synthetic example for Signal or nonconformity; replace with local evidence.</w:t>
            </w:r>
          </w:p>
        </w:tc>
      </w:tr>
      <w:tr>
        <w:tc>
          <w:tcPr>
            <w:tcW w:type="dxa" w:w="3360"/>
            <w:vAlign w:val="top"/>
            <w:shd w:fill="EFEFEF"/>
          </w:tcPr>
          <w:p>
            <w:r>
              <w:rPr>
                <w:sz w:val="17"/>
              </w:rPr>
              <w:t>Immediate containment</w:t>
            </w:r>
          </w:p>
        </w:tc>
        <w:tc>
          <w:tcPr>
            <w:tcW w:type="dxa" w:w="3360"/>
            <w:vAlign w:val="top"/>
          </w:tcPr>
          <w:p>
            <w:r>
              <w:rPr>
                <w:sz w:val="17"/>
              </w:rPr>
              <w:t>Record patient, workforce, data, service, and continuity protections, including restriction or pause.</w:t>
            </w:r>
          </w:p>
        </w:tc>
        <w:tc>
          <w:tcPr>
            <w:tcW w:type="dxa" w:w="3360"/>
            <w:vAlign w:val="top"/>
          </w:tcPr>
          <w:p>
            <w:r>
              <w:rPr>
                <w:sz w:val="17"/>
              </w:rPr>
              <w:t>Synthetic example for Immediate containment; replace with local evidence.</w:t>
            </w:r>
          </w:p>
        </w:tc>
      </w:tr>
      <w:tr>
        <w:tc>
          <w:tcPr>
            <w:tcW w:type="dxa" w:w="3360"/>
            <w:vAlign w:val="top"/>
            <w:shd w:fill="EFEFEF"/>
          </w:tcPr>
          <w:p>
            <w:r>
              <w:rPr>
                <w:sz w:val="17"/>
              </w:rPr>
              <w:t>Reconstruction</w:t>
            </w:r>
          </w:p>
        </w:tc>
        <w:tc>
          <w:tcPr>
            <w:tcW w:type="dxa" w:w="3360"/>
            <w:vAlign w:val="top"/>
          </w:tcPr>
          <w:p>
            <w:r>
              <w:rPr>
                <w:sz w:val="17"/>
              </w:rPr>
              <w:t>Preserve data state, model and software version, output, human action, timing, workload, and context.</w:t>
            </w:r>
          </w:p>
        </w:tc>
        <w:tc>
          <w:tcPr>
            <w:tcW w:type="dxa" w:w="3360"/>
            <w:vAlign w:val="top"/>
          </w:tcPr>
          <w:p>
            <w:r>
              <w:rPr>
                <w:sz w:val="17"/>
              </w:rPr>
              <w:t>Synthetic example for Reconstruction; replace with local evidence.</w:t>
            </w:r>
          </w:p>
        </w:tc>
      </w:tr>
      <w:tr>
        <w:tc>
          <w:tcPr>
            <w:tcW w:type="dxa" w:w="3360"/>
            <w:vAlign w:val="top"/>
            <w:shd w:fill="EFEFEF"/>
          </w:tcPr>
          <w:p>
            <w:r>
              <w:rPr>
                <w:sz w:val="17"/>
              </w:rPr>
              <w:t>Causal analysis</w:t>
            </w:r>
          </w:p>
        </w:tc>
        <w:tc>
          <w:tcPr>
            <w:tcW w:type="dxa" w:w="3360"/>
            <w:vAlign w:val="top"/>
          </w:tcPr>
          <w:p>
            <w:r>
              <w:rPr>
                <w:sz w:val="17"/>
              </w:rPr>
              <w:t>Identify confirmed and competing technical, clinical, workflow, organizational, and governance causes.</w:t>
            </w:r>
          </w:p>
        </w:tc>
        <w:tc>
          <w:tcPr>
            <w:tcW w:type="dxa" w:w="3360"/>
            <w:vAlign w:val="top"/>
          </w:tcPr>
          <w:p>
            <w:r>
              <w:rPr>
                <w:sz w:val="17"/>
              </w:rPr>
              <w:t>Synthetic example for Causal analysis; replace with local evidence.</w:t>
            </w:r>
          </w:p>
        </w:tc>
      </w:tr>
      <w:tr>
        <w:tc>
          <w:tcPr>
            <w:tcW w:type="dxa" w:w="3360"/>
            <w:vAlign w:val="top"/>
            <w:shd w:fill="EFEFEF"/>
          </w:tcPr>
          <w:p>
            <w:r>
              <w:rPr>
                <w:sz w:val="17"/>
              </w:rPr>
              <w:t>Corrective action</w:t>
            </w:r>
          </w:p>
        </w:tc>
        <w:tc>
          <w:tcPr>
            <w:tcW w:type="dxa" w:w="3360"/>
            <w:vAlign w:val="top"/>
          </w:tcPr>
          <w:p>
            <w:r>
              <w:rPr>
                <w:sz w:val="17"/>
              </w:rPr>
              <w:t>Define action, responsible owner, due date, revalidation, communication, and contract or vendor response.</w:t>
            </w:r>
          </w:p>
        </w:tc>
        <w:tc>
          <w:tcPr>
            <w:tcW w:type="dxa" w:w="3360"/>
            <w:vAlign w:val="top"/>
          </w:tcPr>
          <w:p>
            <w:r>
              <w:rPr>
                <w:sz w:val="17"/>
              </w:rPr>
              <w:t>Synthetic example for Corrective action; replace with local evidence.</w:t>
            </w:r>
          </w:p>
        </w:tc>
      </w:tr>
      <w:tr>
        <w:tc>
          <w:tcPr>
            <w:tcW w:type="dxa" w:w="3360"/>
            <w:vAlign w:val="top"/>
            <w:shd w:fill="EFEFEF"/>
          </w:tcPr>
          <w:p>
            <w:r>
              <w:rPr>
                <w:sz w:val="17"/>
              </w:rPr>
              <w:t>Preventive action</w:t>
            </w:r>
          </w:p>
        </w:tc>
        <w:tc>
          <w:tcPr>
            <w:tcW w:type="dxa" w:w="3360"/>
            <w:vAlign w:val="top"/>
          </w:tcPr>
          <w:p>
            <w:r>
              <w:rPr>
                <w:sz w:val="17"/>
              </w:rPr>
              <w:t>Identify controls intended to prevent recurrence in this and related systems.</w:t>
            </w:r>
          </w:p>
        </w:tc>
        <w:tc>
          <w:tcPr>
            <w:tcW w:type="dxa" w:w="3360"/>
            <w:vAlign w:val="top"/>
          </w:tcPr>
          <w:p>
            <w:r>
              <w:rPr>
                <w:sz w:val="17"/>
              </w:rPr>
              <w:t>Synthetic example for Preventive action; replace with local evidence.</w:t>
            </w:r>
          </w:p>
        </w:tc>
      </w:tr>
      <w:tr>
        <w:tc>
          <w:tcPr>
            <w:tcW w:type="dxa" w:w="3360"/>
            <w:vAlign w:val="top"/>
            <w:shd w:fill="EFEFEF"/>
          </w:tcPr>
          <w:p>
            <w:r>
              <w:rPr>
                <w:sz w:val="17"/>
              </w:rPr>
              <w:t>Effectiveness check</w:t>
            </w:r>
          </w:p>
        </w:tc>
        <w:tc>
          <w:tcPr>
            <w:tcW w:type="dxa" w:w="3360"/>
            <w:vAlign w:val="top"/>
          </w:tcPr>
          <w:p>
            <w:r>
              <w:rPr>
                <w:sz w:val="17"/>
              </w:rPr>
              <w:t>Define evidence, observation period, threshold, independent review, and residual uncertainty.</w:t>
            </w:r>
          </w:p>
        </w:tc>
        <w:tc>
          <w:tcPr>
            <w:tcW w:type="dxa" w:w="3360"/>
            <w:vAlign w:val="top"/>
          </w:tcPr>
          <w:p>
            <w:r>
              <w:rPr>
                <w:sz w:val="17"/>
              </w:rPr>
              <w:t>Synthetic example for Effectiveness check; replace with local evidence.</w:t>
            </w:r>
          </w:p>
        </w:tc>
      </w:tr>
      <w:tr>
        <w:tc>
          <w:tcPr>
            <w:tcW w:type="dxa" w:w="3360"/>
            <w:vAlign w:val="top"/>
            <w:shd w:fill="EFEFEF"/>
          </w:tcPr>
          <w:p>
            <w:r>
              <w:rPr>
                <w:sz w:val="17"/>
              </w:rPr>
              <w:t>Closure authority</w:t>
            </w:r>
          </w:p>
        </w:tc>
        <w:tc>
          <w:tcPr>
            <w:tcW w:type="dxa" w:w="3360"/>
            <w:vAlign w:val="top"/>
          </w:tcPr>
          <w:p>
            <w:r>
              <w:rPr>
                <w:sz w:val="17"/>
              </w:rPr>
              <w:t>Record decision, date, dissent, residual risk, and next review.</w:t>
            </w:r>
          </w:p>
        </w:tc>
        <w:tc>
          <w:tcPr>
            <w:tcW w:type="dxa" w:w="3360"/>
            <w:vAlign w:val="top"/>
          </w:tcPr>
          <w:p>
            <w:r>
              <w:rPr>
                <w:sz w:val="17"/>
              </w:rPr>
              <w:t>Synthetic example for Closure authority; replace with local evidence.</w:t>
            </w:r>
          </w:p>
        </w:tc>
      </w:tr>
    </w:tbl>
    <w:sectPr w:rsidR="00FC693F" w:rsidRPr="0006063C" w:rsidSect="00034616">
      <w:footerReference w:type="default" r:id="rId9"/>
      <w:head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AIHE-C02 template and worked example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