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Economic Evaluation Specification</w:t>
      </w:r>
    </w:p>
    <w:p>
      <w:pPr>
        <w:jc w:val="centre"/>
      </w:pPr>
      <w:r>
        <w:rPr>
          <w:b/>
          <w:color w:val="7A2334"/>
        </w:rPr>
        <w:t>AIHE-B01</w:t>
      </w:r>
    </w:p>
    <w:p>
      <w:pPr>
        <w:spacing w:after="40"/>
      </w:pPr>
      <w:r>
        <w:rPr>
          <w:b/>
        </w:rPr>
        <w:t xml:space="preserve">Primary chapter: </w:t>
      </w:r>
      <w:r>
        <w:t>6 — Lifecycle Cost, Pricing, and Benefit Realization</w:t>
      </w:r>
    </w:p>
    <w:p>
      <w:pPr>
        <w:spacing w:after="40"/>
      </w:pPr>
      <w:r>
        <w:rPr>
          <w:b/>
        </w:rPr>
        <w:t xml:space="preserve">Additional chapter alignment: </w:t>
      </w:r>
      <w:r>
        <w:t>6, 7, 8</w:t>
      </w:r>
    </w:p>
    <w:p>
      <w:pPr>
        <w:spacing w:after="40"/>
      </w:pPr>
      <w:r>
        <w:rPr>
          <w:b/>
        </w:rPr>
        <w:t xml:space="preserve">Legacy aliases: </w:t>
      </w:r>
      <w:r>
        <w:t>AIHE-B</w:t>
      </w:r>
    </w:p>
    <w:p>
      <w:pPr>
        <w:spacing w:after="40"/>
      </w:pPr>
      <w:r>
        <w:rPr>
          <w:b/>
        </w:rPr>
        <w:t xml:space="preserve">Version: </w:t>
      </w:r>
      <w:r>
        <w:t>V1.0</w:t>
      </w:r>
    </w:p>
    <w:p>
      <w:pPr>
        <w:pStyle w:val="Heading1"/>
      </w:pPr>
      <w:r>
        <w:t>Purpose</w:t>
      </w:r>
    </w:p>
    <w:p>
      <w:r>
        <w:t>Define the economic decision, perspective, comparator, horizon, outcomes, costs, methods, uncertainty, safeguards, and validation.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Decision and comparator</w:t>
            </w:r>
          </w:p>
        </w:tc>
        <w:tc>
          <w:tcPr>
            <w:tcW w:type="dxa" w:w="3360"/>
            <w:vAlign w:val="top"/>
          </w:tcPr>
          <w:p>
            <w:r>
              <w:rPr>
                <w:sz w:val="17"/>
              </w:rPr>
              <w:t>State the incremental decision and all realistic alternatives.</w:t>
            </w:r>
          </w:p>
        </w:tc>
        <w:tc>
          <w:tcPr>
            <w:tcW w:type="dxa" w:w="3360"/>
            <w:vAlign w:val="top"/>
          </w:tcPr>
          <w:p>
            <w:r>
              <w:rPr>
                <w:sz w:val="17"/>
              </w:rPr>
            </w:r>
          </w:p>
        </w:tc>
      </w:tr>
      <w:tr>
        <w:tc>
          <w:tcPr>
            <w:tcW w:type="dxa" w:w="3360"/>
            <w:vAlign w:val="top"/>
            <w:shd w:fill="F2E8EB"/>
          </w:tcPr>
          <w:p>
            <w:r>
              <w:rPr>
                <w:sz w:val="17"/>
              </w:rPr>
              <w:t>Population, setting, and subgroups</w:t>
            </w:r>
          </w:p>
        </w:tc>
        <w:tc>
          <w:tcPr>
            <w:tcW w:type="dxa" w:w="3360"/>
            <w:vAlign w:val="top"/>
          </w:tcPr>
          <w:p>
            <w:r>
              <w:rPr>
                <w:sz w:val="17"/>
              </w:rPr>
              <w:t>Define eligible volume, uptake, important heterogeneity, and access constraints.</w:t>
            </w:r>
          </w:p>
        </w:tc>
        <w:tc>
          <w:tcPr>
            <w:tcW w:type="dxa" w:w="3360"/>
            <w:vAlign w:val="top"/>
          </w:tcPr>
          <w:p>
            <w:r>
              <w:rPr>
                <w:sz w:val="17"/>
              </w:rPr>
            </w:r>
          </w:p>
        </w:tc>
      </w:tr>
      <w:tr>
        <w:tc>
          <w:tcPr>
            <w:tcW w:type="dxa" w:w="3360"/>
            <w:vAlign w:val="top"/>
            <w:shd w:fill="F2E8EB"/>
          </w:tcPr>
          <w:p>
            <w:r>
              <w:rPr>
                <w:sz w:val="17"/>
              </w:rPr>
              <w:t>Perspective and budget holder</w:t>
            </w:r>
          </w:p>
        </w:tc>
        <w:tc>
          <w:tcPr>
            <w:tcW w:type="dxa" w:w="3360"/>
            <w:vAlign w:val="top"/>
          </w:tcPr>
          <w:p>
            <w:r>
              <w:rPr>
                <w:sz w:val="17"/>
              </w:rPr>
              <w:t>Distinguish hospital, payer, patient, societal, and environmental perspectives and identify who pays and benefits.</w:t>
            </w:r>
          </w:p>
        </w:tc>
        <w:tc>
          <w:tcPr>
            <w:tcW w:type="dxa" w:w="3360"/>
            <w:vAlign w:val="top"/>
          </w:tcPr>
          <w:p>
            <w:r>
              <w:rPr>
                <w:sz w:val="17"/>
              </w:rPr>
            </w:r>
          </w:p>
        </w:tc>
      </w:tr>
      <w:tr>
        <w:tc>
          <w:tcPr>
            <w:tcW w:type="dxa" w:w="3360"/>
            <w:vAlign w:val="top"/>
            <w:shd w:fill="F2E8EB"/>
          </w:tcPr>
          <w:p>
            <w:r>
              <w:rPr>
                <w:sz w:val="17"/>
              </w:rPr>
              <w:t>Time horizon, cycle, and discounting</w:t>
            </w:r>
          </w:p>
        </w:tc>
        <w:tc>
          <w:tcPr>
            <w:tcW w:type="dxa" w:w="3360"/>
            <w:vAlign w:val="top"/>
          </w:tcPr>
          <w:p>
            <w:r>
              <w:rPr>
                <w:sz w:val="17"/>
              </w:rPr>
              <w:t>Justify duration, timing of implementation, useful life, updating, residual value, and discount rates.</w:t>
            </w:r>
          </w:p>
        </w:tc>
        <w:tc>
          <w:tcPr>
            <w:tcW w:type="dxa" w:w="3360"/>
            <w:vAlign w:val="top"/>
          </w:tcPr>
          <w:p>
            <w:r>
              <w:rPr>
                <w:sz w:val="17"/>
              </w:rPr>
            </w:r>
          </w:p>
        </w:tc>
      </w:tr>
      <w:tr>
        <w:tc>
          <w:tcPr>
            <w:tcW w:type="dxa" w:w="3360"/>
            <w:vAlign w:val="top"/>
            <w:shd w:fill="F2E8EB"/>
          </w:tcPr>
          <w:p>
            <w:r>
              <w:rPr>
                <w:sz w:val="17"/>
              </w:rPr>
              <w:t>Outcome hierarchy</w:t>
            </w:r>
          </w:p>
        </w:tc>
        <w:tc>
          <w:tcPr>
            <w:tcW w:type="dxa" w:w="3360"/>
            <w:vAlign w:val="top"/>
          </w:tcPr>
          <w:p>
            <w:r>
              <w:rPr>
                <w:sz w:val="17"/>
              </w:rPr>
              <w:t>Separate final health outcomes, intermediate outcomes, process measures, workforce effects, quality, equity, trust, and environmental effects.</w:t>
            </w:r>
          </w:p>
        </w:tc>
        <w:tc>
          <w:tcPr>
            <w:tcW w:type="dxa" w:w="3360"/>
            <w:vAlign w:val="top"/>
          </w:tcPr>
          <w:p>
            <w:r>
              <w:rPr>
                <w:sz w:val="17"/>
              </w:rPr>
            </w:r>
          </w:p>
        </w:tc>
      </w:tr>
      <w:tr>
        <w:tc>
          <w:tcPr>
            <w:tcW w:type="dxa" w:w="3360"/>
            <w:vAlign w:val="top"/>
            <w:shd w:fill="F2E8EB"/>
          </w:tcPr>
          <w:p>
            <w:r>
              <w:rPr>
                <w:sz w:val="17"/>
              </w:rPr>
              <w:t>Cost boundary</w:t>
            </w:r>
          </w:p>
        </w:tc>
        <w:tc>
          <w:tcPr>
            <w:tcW w:type="dxa" w:w="3360"/>
            <w:vAlign w:val="top"/>
          </w:tcPr>
          <w:p>
            <w:r>
              <w:rPr>
                <w:sz w:val="17"/>
              </w:rPr>
              <w:t>Include acquisition, data, integration, infrastructure, training, review, governance, monitoring, incidents, updates, support, opportunity cost, and exit where incremental.</w:t>
            </w:r>
          </w:p>
        </w:tc>
        <w:tc>
          <w:tcPr>
            <w:tcW w:type="dxa" w:w="3360"/>
            <w:vAlign w:val="top"/>
          </w:tcPr>
          <w:p>
            <w:r>
              <w:rPr>
                <w:sz w:val="17"/>
              </w:rPr>
            </w:r>
          </w:p>
        </w:tc>
      </w:tr>
      <w:tr>
        <w:tc>
          <w:tcPr>
            <w:tcW w:type="dxa" w:w="3360"/>
            <w:vAlign w:val="top"/>
            <w:shd w:fill="F2E8EB"/>
          </w:tcPr>
          <w:p>
            <w:r>
              <w:rPr>
                <w:sz w:val="17"/>
              </w:rPr>
              <w:t>Analytic approach</w:t>
            </w:r>
          </w:p>
        </w:tc>
        <w:tc>
          <w:tcPr>
            <w:tcW w:type="dxa" w:w="3360"/>
            <w:vAlign w:val="top"/>
          </w:tcPr>
          <w:p>
            <w:r>
              <w:rPr>
                <w:sz w:val="17"/>
              </w:rPr>
              <w:t>Specify cost-consequence, cost-effectiveness, cost-utility, cost-benefit, budget impact, ROI, multi-criteria, or combined analysis.</w:t>
            </w:r>
          </w:p>
        </w:tc>
        <w:tc>
          <w:tcPr>
            <w:tcW w:type="dxa" w:w="3360"/>
            <w:vAlign w:val="top"/>
          </w:tcPr>
          <w:p>
            <w:r>
              <w:rPr>
                <w:sz w:val="17"/>
              </w:rPr>
            </w:r>
          </w:p>
        </w:tc>
      </w:tr>
      <w:tr>
        <w:tc>
          <w:tcPr>
            <w:tcW w:type="dxa" w:w="3360"/>
            <w:vAlign w:val="top"/>
            <w:shd w:fill="F2E8EB"/>
          </w:tcPr>
          <w:p>
            <w:r>
              <w:rPr>
                <w:sz w:val="17"/>
              </w:rPr>
              <w:t>Uncertainty and heterogeneity</w:t>
            </w:r>
          </w:p>
        </w:tc>
        <w:tc>
          <w:tcPr>
            <w:tcW w:type="dxa" w:w="3360"/>
            <w:vAlign w:val="top"/>
          </w:tcPr>
          <w:p>
            <w:r>
              <w:rPr>
                <w:sz w:val="17"/>
              </w:rPr>
              <w:t>Define deterministic, probabilistic, scenario, threshold, structural, subgroup, and value-of-information analyses.</w:t>
            </w:r>
          </w:p>
        </w:tc>
        <w:tc>
          <w:tcPr>
            <w:tcW w:type="dxa" w:w="3360"/>
            <w:vAlign w:val="top"/>
          </w:tcPr>
          <w:p>
            <w:r>
              <w:rPr>
                <w:sz w:val="17"/>
              </w:rPr>
            </w:r>
          </w:p>
        </w:tc>
      </w:tr>
      <w:tr>
        <w:tc>
          <w:tcPr>
            <w:tcW w:type="dxa" w:w="3360"/>
            <w:vAlign w:val="top"/>
            <w:shd w:fill="F2E8EB"/>
          </w:tcPr>
          <w:p>
            <w:r>
              <w:rPr>
                <w:sz w:val="17"/>
              </w:rPr>
              <w:t>Decision rule and safeguards</w:t>
            </w:r>
          </w:p>
        </w:tc>
        <w:tc>
          <w:tcPr>
            <w:tcW w:type="dxa" w:w="3360"/>
            <w:vAlign w:val="top"/>
          </w:tcPr>
          <w:p>
            <w:r>
              <w:rPr>
                <w:sz w:val="17"/>
              </w:rPr>
              <w:t>State willingness-to-pay or net-benefit rule, affordability threshold, mandatory safeguards, and conditions.</w:t>
            </w:r>
          </w:p>
        </w:tc>
        <w:tc>
          <w:tcPr>
            <w:tcW w:type="dxa" w:w="3360"/>
            <w:vAlign w:val="top"/>
          </w:tcPr>
          <w:p>
            <w:r>
              <w:rPr>
                <w:sz w:val="17"/>
              </w:rPr>
            </w:r>
          </w:p>
        </w:tc>
      </w:tr>
      <w:tr>
        <w:tc>
          <w:tcPr>
            <w:tcW w:type="dxa" w:w="3360"/>
            <w:vAlign w:val="top"/>
            <w:shd w:fill="F2E8EB"/>
          </w:tcPr>
          <w:p>
            <w:r>
              <w:rPr>
                <w:sz w:val="17"/>
              </w:rPr>
              <w:t>Reporting and validation</w:t>
            </w:r>
          </w:p>
        </w:tc>
        <w:tc>
          <w:tcPr>
            <w:tcW w:type="dxa" w:w="3360"/>
            <w:vAlign w:val="top"/>
          </w:tcPr>
          <w:p>
            <w:r>
              <w:rPr>
                <w:sz w:val="17"/>
              </w:rPr>
              <w:t>Record model version, evidence date, technical verification, face validity, external review, reproducibility, and archive location.</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Decision and comparator</w:t>
            </w:r>
          </w:p>
        </w:tc>
        <w:tc>
          <w:tcPr>
            <w:tcW w:type="dxa" w:w="3360"/>
            <w:vAlign w:val="top"/>
          </w:tcPr>
          <w:p>
            <w:r>
              <w:rPr>
                <w:sz w:val="17"/>
              </w:rPr>
              <w:t>State the incremental decision and all realistic alternatives.</w:t>
            </w:r>
          </w:p>
        </w:tc>
        <w:tc>
          <w:tcPr>
            <w:tcW w:type="dxa" w:w="3360"/>
            <w:vAlign w:val="top"/>
          </w:tcPr>
          <w:p>
            <w:r>
              <w:rPr>
                <w:sz w:val="17"/>
              </w:rPr>
              <w:t>Compare AI-supported triage with current triage, staffing redesign, and a non-AI score.</w:t>
            </w:r>
          </w:p>
        </w:tc>
      </w:tr>
      <w:tr>
        <w:tc>
          <w:tcPr>
            <w:tcW w:type="dxa" w:w="3360"/>
            <w:vAlign w:val="top"/>
            <w:shd w:fill="EFEFEF"/>
          </w:tcPr>
          <w:p>
            <w:r>
              <w:rPr>
                <w:sz w:val="17"/>
              </w:rPr>
              <w:t>Population, setting, and subgroups</w:t>
            </w:r>
          </w:p>
        </w:tc>
        <w:tc>
          <w:tcPr>
            <w:tcW w:type="dxa" w:w="3360"/>
            <w:vAlign w:val="top"/>
          </w:tcPr>
          <w:p>
            <w:r>
              <w:rPr>
                <w:sz w:val="17"/>
              </w:rPr>
              <w:t>Define eligible volume, uptake, important heterogeneity, and access constraints.</w:t>
            </w:r>
          </w:p>
        </w:tc>
        <w:tc>
          <w:tcPr>
            <w:tcW w:type="dxa" w:w="3360"/>
            <w:vAlign w:val="top"/>
          </w:tcPr>
          <w:p>
            <w:r>
              <w:rPr>
                <w:sz w:val="17"/>
              </w:rPr>
              <w:t>Approximately 48,000 adult visits annually; analyse age, sex, language, socioeconomic vulnerability, and rurality.</w:t>
            </w:r>
          </w:p>
        </w:tc>
      </w:tr>
      <w:tr>
        <w:tc>
          <w:tcPr>
            <w:tcW w:type="dxa" w:w="3360"/>
            <w:vAlign w:val="top"/>
            <w:shd w:fill="EFEFEF"/>
          </w:tcPr>
          <w:p>
            <w:r>
              <w:rPr>
                <w:sz w:val="17"/>
              </w:rPr>
              <w:t>Perspective and budget holder</w:t>
            </w:r>
          </w:p>
        </w:tc>
        <w:tc>
          <w:tcPr>
            <w:tcW w:type="dxa" w:w="3360"/>
            <w:vAlign w:val="top"/>
          </w:tcPr>
          <w:p>
            <w:r>
              <w:rPr>
                <w:sz w:val="17"/>
              </w:rPr>
              <w:t>Distinguish hospital, payer, patient, societal, and environmental perspectives and identify who pays and benefits.</w:t>
            </w:r>
          </w:p>
        </w:tc>
        <w:tc>
          <w:tcPr>
            <w:tcW w:type="dxa" w:w="3360"/>
            <w:vAlign w:val="top"/>
          </w:tcPr>
          <w:p>
            <w:r>
              <w:rPr>
                <w:sz w:val="17"/>
              </w:rPr>
              <w:t>Hospital budget-impact perspective and health-system cost-effectiveness perspective; operating budget pays initially.</w:t>
            </w:r>
          </w:p>
        </w:tc>
      </w:tr>
      <w:tr>
        <w:tc>
          <w:tcPr>
            <w:tcW w:type="dxa" w:w="3360"/>
            <w:vAlign w:val="top"/>
            <w:shd w:fill="EFEFEF"/>
          </w:tcPr>
          <w:p>
            <w:r>
              <w:rPr>
                <w:sz w:val="17"/>
              </w:rPr>
              <w:t>Time horizon, cycle, and discounting</w:t>
            </w:r>
          </w:p>
        </w:tc>
        <w:tc>
          <w:tcPr>
            <w:tcW w:type="dxa" w:w="3360"/>
            <w:vAlign w:val="top"/>
          </w:tcPr>
          <w:p>
            <w:r>
              <w:rPr>
                <w:sz w:val="17"/>
              </w:rPr>
              <w:t>Justify duration, timing of implementation, useful life, updating, residual value, and discount rates.</w:t>
            </w:r>
          </w:p>
        </w:tc>
        <w:tc>
          <w:tcPr>
            <w:tcW w:type="dxa" w:w="3360"/>
            <w:vAlign w:val="top"/>
          </w:tcPr>
          <w:p>
            <w:r>
              <w:rPr>
                <w:sz w:val="17"/>
              </w:rPr>
              <w:t>Three years with monthly budget cycles; apply the current national discounting policy.</w:t>
            </w:r>
          </w:p>
        </w:tc>
      </w:tr>
      <w:tr>
        <w:tc>
          <w:tcPr>
            <w:tcW w:type="dxa" w:w="3360"/>
            <w:vAlign w:val="top"/>
            <w:shd w:fill="EFEFEF"/>
          </w:tcPr>
          <w:p>
            <w:r>
              <w:rPr>
                <w:sz w:val="17"/>
              </w:rPr>
              <w:t>Outcome hierarchy</w:t>
            </w:r>
          </w:p>
        </w:tc>
        <w:tc>
          <w:tcPr>
            <w:tcW w:type="dxa" w:w="3360"/>
            <w:vAlign w:val="top"/>
          </w:tcPr>
          <w:p>
            <w:r>
              <w:rPr>
                <w:sz w:val="17"/>
              </w:rPr>
              <w:t>Separate final health outcomes, intermediate outcomes, process measures, workforce effects, quality, equity, trust, and environmental effects.</w:t>
            </w:r>
          </w:p>
        </w:tc>
        <w:tc>
          <w:tcPr>
            <w:tcW w:type="dxa" w:w="3360"/>
            <w:vAlign w:val="top"/>
          </w:tcPr>
          <w:p>
            <w:r>
              <w:rPr>
                <w:sz w:val="17"/>
              </w:rPr>
              <w:t>Safety, health outcomes, time to assessment, workload, experience, equity, trust, and environmental effects.</w:t>
            </w:r>
          </w:p>
        </w:tc>
      </w:tr>
      <w:tr>
        <w:tc>
          <w:tcPr>
            <w:tcW w:type="dxa" w:w="3360"/>
            <w:vAlign w:val="top"/>
            <w:shd w:fill="EFEFEF"/>
          </w:tcPr>
          <w:p>
            <w:r>
              <w:rPr>
                <w:sz w:val="17"/>
              </w:rPr>
              <w:t>Cost boundary</w:t>
            </w:r>
          </w:p>
        </w:tc>
        <w:tc>
          <w:tcPr>
            <w:tcW w:type="dxa" w:w="3360"/>
            <w:vAlign w:val="top"/>
          </w:tcPr>
          <w:p>
            <w:r>
              <w:rPr>
                <w:sz w:val="17"/>
              </w:rPr>
              <w:t>Include acquisition, data, integration, infrastructure, training, review, governance, monitoring, incidents, updates, support, opportunity cost, and exit where incremental.</w:t>
            </w:r>
          </w:p>
        </w:tc>
        <w:tc>
          <w:tcPr>
            <w:tcW w:type="dxa" w:w="3360"/>
            <w:vAlign w:val="top"/>
          </w:tcPr>
          <w:p>
            <w:r>
              <w:rPr>
                <w:sz w:val="17"/>
              </w:rPr>
              <w:t>Licence, data, integration, validation, training, review, governance, security, monitoring, updates, incidents, and exit.</w:t>
            </w:r>
          </w:p>
        </w:tc>
      </w:tr>
      <w:tr>
        <w:tc>
          <w:tcPr>
            <w:tcW w:type="dxa" w:w="3360"/>
            <w:vAlign w:val="top"/>
            <w:shd w:fill="EFEFEF"/>
          </w:tcPr>
          <w:p>
            <w:r>
              <w:rPr>
                <w:sz w:val="17"/>
              </w:rPr>
              <w:t>Analytic approach</w:t>
            </w:r>
          </w:p>
        </w:tc>
        <w:tc>
          <w:tcPr>
            <w:tcW w:type="dxa" w:w="3360"/>
            <w:vAlign w:val="top"/>
          </w:tcPr>
          <w:p>
            <w:r>
              <w:rPr>
                <w:sz w:val="17"/>
              </w:rPr>
              <w:t>Specify cost-consequence, cost-effectiveness, cost-utility, cost-benefit, budget impact, ROI, multi-criteria, or combined analysis.</w:t>
            </w:r>
          </w:p>
        </w:tc>
        <w:tc>
          <w:tcPr>
            <w:tcW w:type="dxa" w:w="3360"/>
            <w:vAlign w:val="top"/>
          </w:tcPr>
          <w:p>
            <w:r>
              <w:rPr>
                <w:sz w:val="17"/>
              </w:rPr>
              <w:t>Cost-consequence and budget impact for the pilot; net-benefit decision model for scale.</w:t>
            </w:r>
          </w:p>
        </w:tc>
      </w:tr>
      <w:tr>
        <w:tc>
          <w:tcPr>
            <w:tcW w:type="dxa" w:w="3360"/>
            <w:vAlign w:val="top"/>
            <w:shd w:fill="EFEFEF"/>
          </w:tcPr>
          <w:p>
            <w:r>
              <w:rPr>
                <w:sz w:val="17"/>
              </w:rPr>
              <w:t>Uncertainty and heterogeneity</w:t>
            </w:r>
          </w:p>
        </w:tc>
        <w:tc>
          <w:tcPr>
            <w:tcW w:type="dxa" w:w="3360"/>
            <w:vAlign w:val="top"/>
          </w:tcPr>
          <w:p>
            <w:r>
              <w:rPr>
                <w:sz w:val="17"/>
              </w:rPr>
              <w:t>Define deterministic, probabilistic, scenario, threshold, structural, subgroup, and value-of-information analyses.</w:t>
            </w:r>
          </w:p>
        </w:tc>
        <w:tc>
          <w:tcPr>
            <w:tcW w:type="dxa" w:w="3360"/>
            <w:vAlign w:val="top"/>
          </w:tcPr>
          <w:p>
            <w:r>
              <w:rPr>
                <w:sz w:val="17"/>
              </w:rPr>
              <w:t>Scenario, threshold, probabilistic, subgroup, structural, and value-of-information analyses.</w:t>
            </w:r>
          </w:p>
        </w:tc>
      </w:tr>
      <w:tr>
        <w:tc>
          <w:tcPr>
            <w:tcW w:type="dxa" w:w="3360"/>
            <w:vAlign w:val="top"/>
            <w:shd w:fill="EFEFEF"/>
          </w:tcPr>
          <w:p>
            <w:r>
              <w:rPr>
                <w:sz w:val="17"/>
              </w:rPr>
              <w:t>Decision rule and safeguards</w:t>
            </w:r>
          </w:p>
        </w:tc>
        <w:tc>
          <w:tcPr>
            <w:tcW w:type="dxa" w:w="3360"/>
            <w:vAlign w:val="top"/>
          </w:tcPr>
          <w:p>
            <w:r>
              <w:rPr>
                <w:sz w:val="17"/>
              </w:rPr>
              <w:t>State willingness-to-pay or net-benefit rule, affordability threshold, mandatory safeguards, and conditions.</w:t>
            </w:r>
          </w:p>
        </w:tc>
        <w:tc>
          <w:tcPr>
            <w:tcW w:type="dxa" w:w="3360"/>
            <w:vAlign w:val="top"/>
          </w:tcPr>
          <w:p>
            <w:r>
              <w:rPr>
                <w:sz w:val="17"/>
              </w:rPr>
              <w:t>Positive expected net benefit and affordable cash flow, subject to mandatory safety, lawful-use, equity, oversight, and shutdown safeguards.</w:t>
            </w:r>
          </w:p>
        </w:tc>
      </w:tr>
      <w:tr>
        <w:tc>
          <w:tcPr>
            <w:tcW w:type="dxa" w:w="3360"/>
            <w:vAlign w:val="top"/>
            <w:shd w:fill="EFEFEF"/>
          </w:tcPr>
          <w:p>
            <w:r>
              <w:rPr>
                <w:sz w:val="17"/>
              </w:rPr>
              <w:t>Reporting and validation</w:t>
            </w:r>
          </w:p>
        </w:tc>
        <w:tc>
          <w:tcPr>
            <w:tcW w:type="dxa" w:w="3360"/>
            <w:vAlign w:val="top"/>
          </w:tcPr>
          <w:p>
            <w:r>
              <w:rPr>
                <w:sz w:val="17"/>
              </w:rPr>
              <w:t>Record model version, evidence date, technical verification, face validity, external review, reproducibility, and archive location.</w:t>
            </w:r>
          </w:p>
        </w:tc>
        <w:tc>
          <w:tcPr>
            <w:tcW w:type="dxa" w:w="3360"/>
            <w:vAlign w:val="top"/>
          </w:tcPr>
          <w:p>
            <w:r>
              <w:rPr>
                <w:sz w:val="17"/>
              </w:rPr>
              <w:t>Model v1.0; independent code review, trace testing, clinical face validity, and archived environment.</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