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Lifecycle Cost and Pricing Record</w:t>
      </w:r>
    </w:p>
    <w:p>
      <w:pPr>
        <w:jc w:val="centre"/>
      </w:pPr>
      <w:r>
        <w:rPr>
          <w:b/>
          <w:color w:val="7A2334"/>
        </w:rPr>
        <w:t>AIHE-B02</w:t>
      </w:r>
    </w:p>
    <w:p>
      <w:pPr>
        <w:spacing w:after="40"/>
      </w:pPr>
      <w:r>
        <w:rPr>
          <w:b/>
        </w:rPr>
        <w:t xml:space="preserve">Primary chapter: </w:t>
      </w:r>
      <w:r>
        <w:t>6 — Lifecycle Cost, Pricing, and Benefit Realization</w:t>
      </w:r>
    </w:p>
    <w:p>
      <w:pPr>
        <w:spacing w:after="40"/>
      </w:pPr>
      <w:r>
        <w:rPr>
          <w:b/>
        </w:rPr>
        <w:t xml:space="preserve">Additional chapter alignment: </w:t>
      </w:r>
      <w:r>
        <w:t>6, 9, 12, 14, 15</w:t>
      </w:r>
    </w:p>
    <w:p>
      <w:pPr>
        <w:spacing w:after="40"/>
      </w:pPr>
      <w:r>
        <w:rPr>
          <w:b/>
        </w:rPr>
        <w:t xml:space="preserve">Legacy aliases: </w:t>
      </w:r>
      <w:r>
        <w:t>AIHE-M, AIHE-EX17</w:t>
      </w:r>
    </w:p>
    <w:p>
      <w:pPr>
        <w:spacing w:after="40"/>
      </w:pPr>
      <w:r>
        <w:rPr>
          <w:b/>
        </w:rPr>
        <w:t xml:space="preserve">Version: </w:t>
      </w:r>
      <w:r>
        <w:t>V1.0</w:t>
      </w:r>
    </w:p>
    <w:p>
      <w:pPr>
        <w:pStyle w:val="Heading1"/>
      </w:pPr>
      <w:r>
        <w:t>Purpose</w:t>
      </w:r>
    </w:p>
    <w:p>
      <w:r>
        <w:t>Record acquisition through exit costs, resource use, pricing exposure, opportunity cost, residual value, and evidence.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7A2334"/>
          </w:tcPr>
          <w:p>
            <w:r>
              <w:rPr>
                <w:b/>
                <w:color w:val="FFFFFF"/>
                <w:sz w:val="15"/>
              </w:rPr>
              <w:t>Cost layer</w:t>
            </w:r>
          </w:p>
        </w:tc>
        <w:tc>
          <w:tcPr>
            <w:tcW w:type="dxa" w:w="1694"/>
            <w:shd w:fill="7A2334"/>
          </w:tcPr>
          <w:p>
            <w:r>
              <w:rPr>
                <w:b/>
                <w:color w:val="FFFFFF"/>
                <w:sz w:val="15"/>
              </w:rPr>
              <w:t>Resource or pricing unit</w:t>
            </w:r>
          </w:p>
        </w:tc>
        <w:tc>
          <w:tcPr>
            <w:tcW w:type="dxa" w:w="1694"/>
            <w:shd w:fill="7A2334"/>
          </w:tcPr>
          <w:p>
            <w:r>
              <w:rPr>
                <w:b/>
                <w:color w:val="FFFFFF"/>
                <w:sz w:val="15"/>
              </w:rPr>
              <w:t>Quantity</w:t>
            </w:r>
          </w:p>
        </w:tc>
        <w:tc>
          <w:tcPr>
            <w:tcW w:type="dxa" w:w="1694"/>
            <w:shd w:fill="7A2334"/>
          </w:tcPr>
          <w:p>
            <w:r>
              <w:rPr>
                <w:b/>
                <w:color w:val="FFFFFF"/>
                <w:sz w:val="15"/>
              </w:rPr>
              <w:t>Unit cost</w:t>
            </w:r>
          </w:p>
        </w:tc>
        <w:tc>
          <w:tcPr>
            <w:tcW w:type="dxa" w:w="1694"/>
            <w:shd w:fill="7A2334"/>
          </w:tcPr>
          <w:p>
            <w:r>
              <w:rPr>
                <w:b/>
                <w:color w:val="FFFFFF"/>
                <w:sz w:val="15"/>
              </w:rPr>
              <w:t>Year(s)</w:t>
            </w:r>
          </w:p>
        </w:tc>
        <w:tc>
          <w:tcPr>
            <w:tcW w:type="dxa" w:w="1694"/>
            <w:shd w:fill="7A2334"/>
          </w:tcPr>
          <w:p>
            <w:r>
              <w:rPr>
                <w:b/>
                <w:color w:val="FFFFFF"/>
                <w:sz w:val="15"/>
              </w:rPr>
              <w:t>Low</w:t>
            </w:r>
          </w:p>
        </w:tc>
        <w:tc>
          <w:tcPr>
            <w:tcW w:type="dxa" w:w="1694"/>
            <w:shd w:fill="7A2334"/>
          </w:tcPr>
          <w:p>
            <w:r>
              <w:rPr>
                <w:b/>
                <w:color w:val="FFFFFF"/>
                <w:sz w:val="15"/>
              </w:rPr>
              <w:t>High</w:t>
            </w:r>
          </w:p>
        </w:tc>
        <w:tc>
          <w:tcPr>
            <w:tcW w:type="dxa" w:w="1694"/>
            <w:shd w:fill="7A2334"/>
          </w:tcPr>
          <w:p>
            <w:r>
              <w:rPr>
                <w:b/>
                <w:color w:val="FFFFFF"/>
                <w:sz w:val="15"/>
              </w:rPr>
              <w:t>Budget owner</w:t>
            </w:r>
          </w:p>
        </w:tc>
        <w:tc>
          <w:tcPr>
            <w:tcW w:type="dxa" w:w="1694"/>
            <w:shd w:fill="7A2334"/>
          </w:tcPr>
          <w:p>
            <w:r>
              <w:rPr>
                <w:b/>
                <w:color w:val="FFFFFF"/>
                <w:sz w:val="15"/>
              </w:rPr>
              <w:t>Evidence and notes</w:t>
            </w:r>
          </w:p>
        </w:tc>
      </w:tr>
      <w:tr>
        <w:tc>
          <w:tcPr>
            <w:tcW w:type="dxa" w:w="1694"/>
            <w:vAlign w:val="top"/>
            <w:shd w:fill="F2E8EB"/>
          </w:tcPr>
          <w:p>
            <w:r>
              <w:rPr>
                <w:sz w:val="14"/>
              </w:rPr>
              <w:t>Acquisition and licence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Data preparation and governance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Integration and infrastructure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Validation and assurance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Training, workflow, and review</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Quality, ethics, legal, and audit</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Cybersecurity, resilience, and incidents</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Monitoring, updating, and support</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Opportunity cost and displaced capacity</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Exit, transition, and decommissioning</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Residual value or recovery credit</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52565A"/>
          </w:tcPr>
          <w:p>
            <w:r>
              <w:rPr>
                <w:b/>
                <w:color w:val="FFFFFF"/>
                <w:sz w:val="15"/>
              </w:rPr>
              <w:t>Cost layer</w:t>
            </w:r>
          </w:p>
        </w:tc>
        <w:tc>
          <w:tcPr>
            <w:tcW w:type="dxa" w:w="1694"/>
            <w:shd w:fill="52565A"/>
          </w:tcPr>
          <w:p>
            <w:r>
              <w:rPr>
                <w:b/>
                <w:color w:val="FFFFFF"/>
                <w:sz w:val="15"/>
              </w:rPr>
              <w:t>Resource or pricing unit</w:t>
            </w:r>
          </w:p>
        </w:tc>
        <w:tc>
          <w:tcPr>
            <w:tcW w:type="dxa" w:w="1694"/>
            <w:shd w:fill="52565A"/>
          </w:tcPr>
          <w:p>
            <w:r>
              <w:rPr>
                <w:b/>
                <w:color w:val="FFFFFF"/>
                <w:sz w:val="15"/>
              </w:rPr>
              <w:t>Quantity</w:t>
            </w:r>
          </w:p>
        </w:tc>
        <w:tc>
          <w:tcPr>
            <w:tcW w:type="dxa" w:w="1694"/>
            <w:shd w:fill="52565A"/>
          </w:tcPr>
          <w:p>
            <w:r>
              <w:rPr>
                <w:b/>
                <w:color w:val="FFFFFF"/>
                <w:sz w:val="15"/>
              </w:rPr>
              <w:t>Unit cost</w:t>
            </w:r>
          </w:p>
        </w:tc>
        <w:tc>
          <w:tcPr>
            <w:tcW w:type="dxa" w:w="1694"/>
            <w:shd w:fill="52565A"/>
          </w:tcPr>
          <w:p>
            <w:r>
              <w:rPr>
                <w:b/>
                <w:color w:val="FFFFFF"/>
                <w:sz w:val="15"/>
              </w:rPr>
              <w:t>Year(s)</w:t>
            </w:r>
          </w:p>
        </w:tc>
        <w:tc>
          <w:tcPr>
            <w:tcW w:type="dxa" w:w="1694"/>
            <w:shd w:fill="52565A"/>
          </w:tcPr>
          <w:p>
            <w:r>
              <w:rPr>
                <w:b/>
                <w:color w:val="FFFFFF"/>
                <w:sz w:val="15"/>
              </w:rPr>
              <w:t>Low</w:t>
            </w:r>
          </w:p>
        </w:tc>
        <w:tc>
          <w:tcPr>
            <w:tcW w:type="dxa" w:w="1694"/>
            <w:shd w:fill="52565A"/>
          </w:tcPr>
          <w:p>
            <w:r>
              <w:rPr>
                <w:b/>
                <w:color w:val="FFFFFF"/>
                <w:sz w:val="15"/>
              </w:rPr>
              <w:t>High</w:t>
            </w:r>
          </w:p>
        </w:tc>
        <w:tc>
          <w:tcPr>
            <w:tcW w:type="dxa" w:w="1694"/>
            <w:shd w:fill="52565A"/>
          </w:tcPr>
          <w:p>
            <w:r>
              <w:rPr>
                <w:b/>
                <w:color w:val="FFFFFF"/>
                <w:sz w:val="15"/>
              </w:rPr>
              <w:t>Budget owner</w:t>
            </w:r>
          </w:p>
        </w:tc>
        <w:tc>
          <w:tcPr>
            <w:tcW w:type="dxa" w:w="1694"/>
            <w:shd w:fill="52565A"/>
          </w:tcPr>
          <w:p>
            <w:r>
              <w:rPr>
                <w:b/>
                <w:color w:val="FFFFFF"/>
                <w:sz w:val="15"/>
              </w:rPr>
              <w:t>Evidence and notes</w:t>
            </w:r>
          </w:p>
        </w:tc>
      </w:tr>
      <w:tr>
        <w:tc>
          <w:tcPr>
            <w:tcW w:type="dxa" w:w="1694"/>
            <w:vAlign w:val="top"/>
            <w:shd w:fill="EFEFEF"/>
          </w:tcPr>
          <w:p>
            <w:r>
              <w:rPr>
                <w:sz w:val="14"/>
              </w:rPr>
              <w:t>Acquisition and licence</w:t>
            </w:r>
          </w:p>
        </w:tc>
        <w:tc>
          <w:tcPr>
            <w:tcW w:type="dxa" w:w="1694"/>
            <w:vAlign w:val="top"/>
          </w:tcPr>
          <w:p>
            <w:r>
              <w:rPr>
                <w:sz w:val="14"/>
              </w:rPr>
              <w:t>Synthetic example for Acquisition and licence;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Clinical service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Data preparation and governance</w:t>
            </w:r>
          </w:p>
        </w:tc>
        <w:tc>
          <w:tcPr>
            <w:tcW w:type="dxa" w:w="1694"/>
            <w:vAlign w:val="top"/>
          </w:tcPr>
          <w:p>
            <w:r>
              <w:rPr>
                <w:sz w:val="14"/>
              </w:rPr>
              <w:t>Synthetic example for Data preparation and governance;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Quality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Integration and infrastructure</w:t>
            </w:r>
          </w:p>
        </w:tc>
        <w:tc>
          <w:tcPr>
            <w:tcW w:type="dxa" w:w="1694"/>
            <w:vAlign w:val="top"/>
          </w:tcPr>
          <w:p>
            <w:r>
              <w:rPr>
                <w:sz w:val="14"/>
              </w:rPr>
              <w:t>Synthetic example for Integration and infrastructure;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Data steward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Validation and assurance</w:t>
            </w:r>
          </w:p>
        </w:tc>
        <w:tc>
          <w:tcPr>
            <w:tcW w:type="dxa" w:w="1694"/>
            <w:vAlign w:val="top"/>
          </w:tcPr>
          <w:p>
            <w:r>
              <w:rPr>
                <w:sz w:val="14"/>
              </w:rPr>
              <w:t>Synthetic example for Validation and assurance;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Health economist</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Training, workflow, and review</w:t>
            </w:r>
          </w:p>
        </w:tc>
        <w:tc>
          <w:tcPr>
            <w:tcW w:type="dxa" w:w="1694"/>
            <w:vAlign w:val="top"/>
          </w:tcPr>
          <w:p>
            <w:r>
              <w:rPr>
                <w:sz w:val="14"/>
              </w:rPr>
              <w:t>Synthetic example for Training, workflow, and review;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Procurement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Quality, ethics, legal, and audit</w:t>
            </w:r>
          </w:p>
        </w:tc>
        <w:tc>
          <w:tcPr>
            <w:tcW w:type="dxa" w:w="1694"/>
            <w:vAlign w:val="top"/>
          </w:tcPr>
          <w:p>
            <w:r>
              <w:rPr>
                <w:sz w:val="14"/>
              </w:rPr>
              <w:t>Synthetic example for Quality, ethics, legal, and audit;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Clinical service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Cybersecurity, resilience, and incidents</w:t>
            </w:r>
          </w:p>
        </w:tc>
        <w:tc>
          <w:tcPr>
            <w:tcW w:type="dxa" w:w="1694"/>
            <w:vAlign w:val="top"/>
          </w:tcPr>
          <w:p>
            <w:r>
              <w:rPr>
                <w:sz w:val="14"/>
              </w:rPr>
              <w:t>Synthetic example for Cybersecurity, resilience, and incidents;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Quality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Monitoring, updating, and support</w:t>
            </w:r>
          </w:p>
        </w:tc>
        <w:tc>
          <w:tcPr>
            <w:tcW w:type="dxa" w:w="1694"/>
            <w:vAlign w:val="top"/>
          </w:tcPr>
          <w:p>
            <w:r>
              <w:rPr>
                <w:sz w:val="14"/>
              </w:rPr>
              <w:t>Synthetic example for Monitoring, updating, and support;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Data steward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Opportunity cost and displaced capacity</w:t>
            </w:r>
          </w:p>
        </w:tc>
        <w:tc>
          <w:tcPr>
            <w:tcW w:type="dxa" w:w="1694"/>
            <w:vAlign w:val="top"/>
          </w:tcPr>
          <w:p>
            <w:r>
              <w:rPr>
                <w:sz w:val="14"/>
              </w:rPr>
              <w:t>Synthetic example for Opportunity cost and displaced capacity;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Health economist</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Exit, transition, and decommissioning</w:t>
            </w:r>
          </w:p>
        </w:tc>
        <w:tc>
          <w:tcPr>
            <w:tcW w:type="dxa" w:w="1694"/>
            <w:vAlign w:val="top"/>
          </w:tcPr>
          <w:p>
            <w:r>
              <w:rPr>
                <w:sz w:val="14"/>
              </w:rPr>
              <w:t>Synthetic example for Exit, transition, and decommissioning;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Procurement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Residual value or recovery credit</w:t>
            </w:r>
          </w:p>
        </w:tc>
        <w:tc>
          <w:tcPr>
            <w:tcW w:type="dxa" w:w="1694"/>
            <w:vAlign w:val="top"/>
          </w:tcPr>
          <w:p>
            <w:r>
              <w:rPr>
                <w:sz w:val="14"/>
              </w:rPr>
              <w:t>Synthetic example for Residual value or recovery credit;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Clinical service lead</w:t>
            </w:r>
          </w:p>
        </w:tc>
        <w:tc>
          <w:tcPr>
            <w:tcW w:type="dxa" w:w="1694"/>
            <w:vAlign w:val="top"/>
          </w:tcPr>
          <w:p>
            <w:r>
              <w:rPr>
                <w:sz w:val="14"/>
              </w:rPr>
              <w:t>Synthetic local baseline report; controlled dataset v1.2; evidence cut-off 2026-01-31.</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AIHE-B02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