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AIHE-B02 - Lifecycle Cost and Pricing Record</w:t>
      </w:r>
    </w:p>
    <w:p>
      <w:r>
        <w:rPr>
          <w:b/>
        </w:rPr>
        <w:t>Chapter 6: Lifecycle Cost, Pricing, and Benefit Realization</w:t>
      </w:r>
    </w:p>
    <w:p>
      <w:r>
        <w:t>Record acquisition through exit costs, resource use, pricing exposure, opportunity cost, residual value, and evidence.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AIHE-B02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Cost and pricing</w:t>
            </w:r>
          </w:p>
        </w:tc>
        <w:tc>
          <w:tcPr>
            <w:tcW w:type="dxa" w:w="2556"/>
            <w:vAlign w:val="top"/>
          </w:tcPr>
          <w:p>
            <w:r>
              <w:t>Cost item or pricing unit</w:t>
            </w:r>
          </w:p>
        </w:tc>
        <w:tc>
          <w:tcPr>
            <w:tcW w:type="dxa" w:w="2556"/>
            <w:vAlign w:val="top"/>
          </w:tcPr>
          <w:p>
            <w:r>
              <w:t>Use a clinically and managerially legible unit.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Economic view</w:t>
            </w:r>
          </w:p>
        </w:tc>
        <w:tc>
          <w:tcPr>
            <w:tcW w:type="dxa" w:w="2556"/>
            <w:vAlign w:val="top"/>
          </w:tcPr>
          <w:p>
            <w:r>
              <w:t>Incremental economic resource cost</w:t>
            </w:r>
          </w:p>
        </w:tc>
        <w:tc>
          <w:tcPr>
            <w:tcW w:type="dxa" w:w="2556"/>
            <w:vAlign w:val="top"/>
          </w:tcPr>
          <w:p>
            <w:r>
              <w:t>Include opportunity cost even without a cash payment.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Cash view</w:t>
            </w:r>
          </w:p>
        </w:tc>
        <w:tc>
          <w:tcPr>
            <w:tcW w:type="dxa" w:w="2556"/>
            <w:vAlign w:val="top"/>
          </w:tcPr>
          <w:p>
            <w:r>
              <w:t>Cash expenditure and payment timing</w:t>
            </w:r>
          </w:p>
        </w:tc>
        <w:tc>
          <w:tcPr>
            <w:tcW w:type="dxa" w:w="2556"/>
            <w:vAlign w:val="top"/>
          </w:tcPr>
          <w:p>
            <w:r>
              <w:t>Identify the paying budget holder.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Accounting view</w:t>
            </w:r>
          </w:p>
        </w:tc>
        <w:tc>
          <w:tcPr>
            <w:tcW w:type="dxa" w:w="2556"/>
            <w:vAlign w:val="top"/>
          </w:tcPr>
          <w:p>
            <w:r>
              <w:t>Accounting expense or capitalization treatment</w:t>
            </w:r>
          </w:p>
        </w:tc>
        <w:tc>
          <w:tcPr>
            <w:tcW w:type="dxa" w:w="2556"/>
            <w:vAlign w:val="top"/>
          </w:tcPr>
          <w:p>
            <w:r>
              <w:t>Record the applicable policy assumption.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Exposure</w:t>
            </w:r>
          </w:p>
        </w:tc>
        <w:tc>
          <w:tcPr>
            <w:tcW w:type="dxa" w:w="2556"/>
            <w:vAlign w:val="top"/>
          </w:tcPr>
          <w:p>
            <w:r>
              <w:t>Fixed, variable, step, volume, escalation, and minimum-commitment exposure</w:t>
            </w:r>
          </w:p>
        </w:tc>
        <w:tc>
          <w:tcPr>
            <w:tcW w:type="dxa" w:w="2556"/>
            <w:vAlign w:val="top"/>
          </w:tcPr>
          <w:p>
            <w:r>
              <w:t>Model plausible use scenarios.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Ownership</w:t>
            </w:r>
          </w:p>
        </w:tc>
        <w:tc>
          <w:tcPr>
            <w:tcW w:type="dxa" w:w="2556"/>
            <w:vAlign w:val="top"/>
          </w:tcPr>
          <w:p>
            <w:r>
              <w:t>Responsible cost owner and evidence source</w:t>
            </w:r>
          </w:p>
        </w:tc>
        <w:tc>
          <w:tcPr>
            <w:tcW w:type="dxa" w:w="2556"/>
            <w:vAlign w:val="top"/>
          </w:tcPr>
          <w:p>
            <w:r>
              <w:t>Assign accountability.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Residual value</w:t>
            </w:r>
          </w:p>
        </w:tc>
        <w:tc>
          <w:tcPr>
            <w:tcW w:type="dxa" w:w="2556"/>
            <w:vAlign w:val="top"/>
          </w:tcPr>
          <w:p>
            <w:r>
              <w:t>Realizable residual value and recovery cost</w:t>
            </w:r>
          </w:p>
        </w:tc>
        <w:tc>
          <w:tcPr>
            <w:tcW w:type="dxa" w:w="2556"/>
            <w:vAlign w:val="top"/>
          </w:tcPr>
          <w:p>
            <w:r>
              <w:t>Avoid nominal values that cannot be obtained.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Lifecycle decision</w:t>
            </w:r>
          </w:p>
        </w:tc>
        <w:tc>
          <w:tcPr>
            <w:tcW w:type="dxa" w:w="2556"/>
            <w:vAlign w:val="top"/>
          </w:tcPr>
          <w:p>
            <w:r>
              <w:t>Renewal, renegotiation, replacement, and exit assumptions</w:t>
            </w:r>
          </w:p>
        </w:tc>
        <w:tc>
          <w:tcPr>
            <w:tcW w:type="dxa" w:w="2556"/>
            <w:vAlign w:val="top"/>
          </w:tcPr>
          <w:p>
            <w:r>
              <w:t>Preserve flexibility.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AIHE-B02 - Lifecycle Cost and Pricing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