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Cost-Effectiveness, Budget Impact, and HTA Record</w:t>
      </w:r>
    </w:p>
    <w:p>
      <w:pPr>
        <w:jc w:val="centre"/>
      </w:pPr>
      <w:r>
        <w:rPr>
          <w:b/>
          <w:color w:val="7A2334"/>
        </w:rPr>
        <w:t>AIHE-B04</w:t>
      </w:r>
    </w:p>
    <w:p>
      <w:pPr>
        <w:spacing w:after="40"/>
      </w:pPr>
      <w:r>
        <w:rPr>
          <w:b/>
        </w:rPr>
        <w:t xml:space="preserve">Primary chapter: </w:t>
      </w:r>
      <w:r>
        <w:t>7 — Economic Evaluation, Affordability, and Health Technology Assessment</w:t>
      </w:r>
    </w:p>
    <w:p>
      <w:pPr>
        <w:spacing w:after="40"/>
      </w:pPr>
      <w:r>
        <w:rPr>
          <w:b/>
        </w:rPr>
        <w:t xml:space="preserve">Additional chapter alignment: </w:t>
      </w:r>
      <w:r>
        <w:t>7, 8, 9, 11</w:t>
      </w:r>
    </w:p>
    <w:p>
      <w:pPr>
        <w:spacing w:after="40"/>
      </w:pPr>
      <w:r>
        <w:rPr>
          <w:b/>
        </w:rPr>
        <w:t xml:space="preserve">Legacy aliases: </w:t>
      </w:r>
      <w:r>
        <w:t>AIHE-AA, AIHE-EX18</w:t>
      </w:r>
    </w:p>
    <w:p>
      <w:pPr>
        <w:spacing w:after="40"/>
      </w:pPr>
      <w:r>
        <w:rPr>
          <w:b/>
        </w:rPr>
        <w:t xml:space="preserve">Version: </w:t>
      </w:r>
      <w:r>
        <w:t>V1.0</w:t>
      </w:r>
    </w:p>
    <w:p>
      <w:pPr>
        <w:pStyle w:val="Heading1"/>
      </w:pPr>
      <w:r>
        <w:t>Purpose</w:t>
      </w:r>
    </w:p>
    <w:p>
      <w:r>
        <w:t>Summarize cost-effectiveness, affordability, distribution, HTA, reimbursement, adoption conditions, uncertainty, and recommendation.</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7A2334"/>
          </w:tcPr>
          <w:p>
            <w:r>
              <w:rPr>
                <w:b/>
                <w:color w:val="FFFFFF"/>
                <w:sz w:val="18"/>
              </w:rPr>
              <w:t>Field</w:t>
            </w:r>
          </w:p>
        </w:tc>
        <w:tc>
          <w:tcPr>
            <w:tcW w:type="dxa" w:w="3360"/>
            <w:shd w:fill="7A2334"/>
          </w:tcPr>
          <w:p>
            <w:r>
              <w:rPr>
                <w:b/>
                <w:color w:val="FFFFFF"/>
                <w:sz w:val="18"/>
              </w:rPr>
              <w:t>Guidance</w:t>
            </w:r>
          </w:p>
        </w:tc>
        <w:tc>
          <w:tcPr>
            <w:tcW w:type="dxa" w:w="3360"/>
            <w:shd w:fill="7A2334"/>
          </w:tcPr>
          <w:p>
            <w:r>
              <w:rPr>
                <w:b/>
                <w:color w:val="FFFFFF"/>
                <w:sz w:val="18"/>
              </w:rPr>
              <w:t>Institutional response</w:t>
            </w:r>
          </w:p>
        </w:tc>
      </w:tr>
      <w:tr>
        <w:tc>
          <w:tcPr>
            <w:tcW w:type="dxa" w:w="3360"/>
            <w:vAlign w:val="top"/>
            <w:shd w:fill="F2E8EB"/>
          </w:tcPr>
          <w:p>
            <w:r>
              <w:rPr>
                <w:sz w:val="17"/>
              </w:rPr>
              <w:t>Incremental cost and outcome</w:t>
            </w:r>
          </w:p>
        </w:tc>
        <w:tc>
          <w:tcPr>
            <w:tcW w:type="dxa" w:w="3360"/>
            <w:vAlign w:val="top"/>
          </w:tcPr>
          <w:p>
            <w:r>
              <w:rPr>
                <w:sz w:val="17"/>
              </w:rPr>
              <w:t>Report disaggregated and summary results relative to the comparator.</w:t>
            </w:r>
          </w:p>
        </w:tc>
        <w:tc>
          <w:tcPr>
            <w:tcW w:type="dxa" w:w="3360"/>
            <w:vAlign w:val="top"/>
          </w:tcPr>
          <w:p>
            <w:r>
              <w:rPr>
                <w:sz w:val="17"/>
              </w:rPr>
            </w:r>
          </w:p>
        </w:tc>
      </w:tr>
      <w:tr>
        <w:tc>
          <w:tcPr>
            <w:tcW w:type="dxa" w:w="3360"/>
            <w:vAlign w:val="top"/>
            <w:shd w:fill="F2E8EB"/>
          </w:tcPr>
          <w:p>
            <w:r>
              <w:rPr>
                <w:sz w:val="17"/>
              </w:rPr>
              <w:t>ICER or net benefit</w:t>
            </w:r>
          </w:p>
        </w:tc>
        <w:tc>
          <w:tcPr>
            <w:tcW w:type="dxa" w:w="3360"/>
            <w:vAlign w:val="top"/>
          </w:tcPr>
          <w:p>
            <w:r>
              <w:rPr>
                <w:sz w:val="17"/>
              </w:rPr>
              <w:t>State the threshold, currency and price year, and probability that the preferred option is cost-effective.</w:t>
            </w:r>
          </w:p>
        </w:tc>
        <w:tc>
          <w:tcPr>
            <w:tcW w:type="dxa" w:w="3360"/>
            <w:vAlign w:val="top"/>
          </w:tcPr>
          <w:p>
            <w:r>
              <w:rPr>
                <w:sz w:val="17"/>
              </w:rPr>
            </w:r>
          </w:p>
        </w:tc>
      </w:tr>
      <w:tr>
        <w:tc>
          <w:tcPr>
            <w:tcW w:type="dxa" w:w="3360"/>
            <w:vAlign w:val="top"/>
            <w:shd w:fill="F2E8EB"/>
          </w:tcPr>
          <w:p>
            <w:r>
              <w:rPr>
                <w:sz w:val="17"/>
              </w:rPr>
              <w:t>Budget impact</w:t>
            </w:r>
          </w:p>
        </w:tc>
        <w:tc>
          <w:tcPr>
            <w:tcW w:type="dxa" w:w="3360"/>
            <w:vAlign w:val="top"/>
          </w:tcPr>
          <w:p>
            <w:r>
              <w:rPr>
                <w:sz w:val="17"/>
              </w:rPr>
              <w:t>Report eligible volume, uptake, implementation timing, annual cash flow, funding source, and cashable versus non-cashable savings.</w:t>
            </w:r>
          </w:p>
        </w:tc>
        <w:tc>
          <w:tcPr>
            <w:tcW w:type="dxa" w:w="3360"/>
            <w:vAlign w:val="top"/>
          </w:tcPr>
          <w:p>
            <w:r>
              <w:rPr>
                <w:sz w:val="17"/>
              </w:rPr>
            </w:r>
          </w:p>
        </w:tc>
      </w:tr>
      <w:tr>
        <w:tc>
          <w:tcPr>
            <w:tcW w:type="dxa" w:w="3360"/>
            <w:vAlign w:val="top"/>
            <w:shd w:fill="F2E8EB"/>
          </w:tcPr>
          <w:p>
            <w:r>
              <w:rPr>
                <w:sz w:val="17"/>
              </w:rPr>
              <w:t>Distribution and equity</w:t>
            </w:r>
          </w:p>
        </w:tc>
        <w:tc>
          <w:tcPr>
            <w:tcW w:type="dxa" w:w="3360"/>
            <w:vAlign w:val="top"/>
          </w:tcPr>
          <w:p>
            <w:r>
              <w:rPr>
                <w:sz w:val="17"/>
              </w:rPr>
              <w:t>Report subgroup outcomes, access, burdens, opportunity costs, mitigation, and residual concern.</w:t>
            </w:r>
          </w:p>
        </w:tc>
        <w:tc>
          <w:tcPr>
            <w:tcW w:type="dxa" w:w="3360"/>
            <w:vAlign w:val="top"/>
          </w:tcPr>
          <w:p>
            <w:r>
              <w:rPr>
                <w:sz w:val="17"/>
              </w:rPr>
            </w:r>
          </w:p>
        </w:tc>
      </w:tr>
      <w:tr>
        <w:tc>
          <w:tcPr>
            <w:tcW w:type="dxa" w:w="3360"/>
            <w:vAlign w:val="top"/>
            <w:shd w:fill="F2E8EB"/>
          </w:tcPr>
          <w:p>
            <w:r>
              <w:rPr>
                <w:sz w:val="17"/>
              </w:rPr>
              <w:t>Regulatory and clinical evidence status</w:t>
            </w:r>
          </w:p>
        </w:tc>
        <w:tc>
          <w:tcPr>
            <w:tcW w:type="dxa" w:w="3360"/>
            <w:vAlign w:val="top"/>
          </w:tcPr>
          <w:p>
            <w:r>
              <w:rPr>
                <w:sz w:val="17"/>
              </w:rPr>
              <w:t>Distinguish authorization, external clinical evidence, joint or national assessment, and local evidence.</w:t>
            </w:r>
          </w:p>
        </w:tc>
        <w:tc>
          <w:tcPr>
            <w:tcW w:type="dxa" w:w="3360"/>
            <w:vAlign w:val="top"/>
          </w:tcPr>
          <w:p>
            <w:r>
              <w:rPr>
                <w:sz w:val="17"/>
              </w:rPr>
            </w:r>
          </w:p>
        </w:tc>
      </w:tr>
      <w:tr>
        <w:tc>
          <w:tcPr>
            <w:tcW w:type="dxa" w:w="3360"/>
            <w:vAlign w:val="top"/>
            <w:shd w:fill="F2E8EB"/>
          </w:tcPr>
          <w:p>
            <w:r>
              <w:rPr>
                <w:sz w:val="17"/>
              </w:rPr>
              <w:t>Reimbursement and payment</w:t>
            </w:r>
          </w:p>
        </w:tc>
        <w:tc>
          <w:tcPr>
            <w:tcW w:type="dxa" w:w="3360"/>
            <w:vAlign w:val="top"/>
          </w:tcPr>
          <w:p>
            <w:r>
              <w:rPr>
                <w:sz w:val="17"/>
              </w:rPr>
              <w:t>Identify coverage, coding, tariff, payer, claim, denial, and incentive implications.</w:t>
            </w:r>
          </w:p>
        </w:tc>
        <w:tc>
          <w:tcPr>
            <w:tcW w:type="dxa" w:w="3360"/>
            <w:vAlign w:val="top"/>
          </w:tcPr>
          <w:p>
            <w:r>
              <w:rPr>
                <w:sz w:val="17"/>
              </w:rPr>
            </w:r>
          </w:p>
        </w:tc>
      </w:tr>
      <w:tr>
        <w:tc>
          <w:tcPr>
            <w:tcW w:type="dxa" w:w="3360"/>
            <w:vAlign w:val="top"/>
            <w:shd w:fill="F2E8EB"/>
          </w:tcPr>
          <w:p>
            <w:r>
              <w:rPr>
                <w:sz w:val="17"/>
              </w:rPr>
              <w:t>Local adoption conditions</w:t>
            </w:r>
          </w:p>
        </w:tc>
        <w:tc>
          <w:tcPr>
            <w:tcW w:type="dxa" w:w="3360"/>
            <w:vAlign w:val="top"/>
          </w:tcPr>
          <w:p>
            <w:r>
              <w:rPr>
                <w:sz w:val="17"/>
              </w:rPr>
              <w:t>Record readiness, procurement, workforce, quality, accreditation, governance, and monitoring prerequisites.</w:t>
            </w:r>
          </w:p>
        </w:tc>
        <w:tc>
          <w:tcPr>
            <w:tcW w:type="dxa" w:w="3360"/>
            <w:vAlign w:val="top"/>
          </w:tcPr>
          <w:p>
            <w:r>
              <w:rPr>
                <w:sz w:val="17"/>
              </w:rPr>
            </w:r>
          </w:p>
        </w:tc>
      </w:tr>
      <w:tr>
        <w:tc>
          <w:tcPr>
            <w:tcW w:type="dxa" w:w="3360"/>
            <w:vAlign w:val="top"/>
            <w:shd w:fill="F2E8EB"/>
          </w:tcPr>
          <w:p>
            <w:r>
              <w:rPr>
                <w:sz w:val="17"/>
              </w:rPr>
              <w:t>Uncertainty and additional evidence</w:t>
            </w:r>
          </w:p>
        </w:tc>
        <w:tc>
          <w:tcPr>
            <w:tcW w:type="dxa" w:w="3360"/>
            <w:vAlign w:val="top"/>
          </w:tcPr>
          <w:p>
            <w:r>
              <w:rPr>
                <w:sz w:val="17"/>
              </w:rPr>
              <w:t>Identify parameters that may change the decision and the value, cost, and timing of further research.</w:t>
            </w:r>
          </w:p>
        </w:tc>
        <w:tc>
          <w:tcPr>
            <w:tcW w:type="dxa" w:w="3360"/>
            <w:vAlign w:val="top"/>
          </w:tcPr>
          <w:p>
            <w:r>
              <w:rPr>
                <w:sz w:val="17"/>
              </w:rPr>
            </w:r>
          </w:p>
        </w:tc>
      </w:tr>
      <w:tr>
        <w:tc>
          <w:tcPr>
            <w:tcW w:type="dxa" w:w="3360"/>
            <w:vAlign w:val="top"/>
            <w:shd w:fill="F2E8EB"/>
          </w:tcPr>
          <w:p>
            <w:r>
              <w:rPr>
                <w:sz w:val="17"/>
              </w:rPr>
              <w:t>Recommendation</w:t>
            </w:r>
          </w:p>
        </w:tc>
        <w:tc>
          <w:tcPr>
            <w:tcW w:type="dxa" w:w="3360"/>
            <w:vAlign w:val="top"/>
          </w:tcPr>
          <w:p>
            <w:r>
              <w:rPr>
                <w:sz w:val="17"/>
              </w:rPr>
              <w:t>Record adopt, pilot, conditional use, restrict, defer, redesign, reject, or retire, together with conditions and review date.</w:t>
            </w:r>
          </w:p>
        </w:tc>
        <w:tc>
          <w:tcPr>
            <w:tcW w:type="dxa" w:w="336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52565A"/>
          </w:tcPr>
          <w:p>
            <w:r>
              <w:rPr>
                <w:b/>
                <w:color w:val="FFFFFF"/>
                <w:sz w:val="18"/>
              </w:rPr>
              <w:t>Field</w:t>
            </w:r>
          </w:p>
        </w:tc>
        <w:tc>
          <w:tcPr>
            <w:tcW w:type="dxa" w:w="3360"/>
            <w:shd w:fill="52565A"/>
          </w:tcPr>
          <w:p>
            <w:r>
              <w:rPr>
                <w:b/>
                <w:color w:val="FFFFFF"/>
                <w:sz w:val="18"/>
              </w:rPr>
              <w:t>Guidance</w:t>
            </w:r>
          </w:p>
        </w:tc>
        <w:tc>
          <w:tcPr>
            <w:tcW w:type="dxa" w:w="3360"/>
            <w:shd w:fill="52565A"/>
          </w:tcPr>
          <w:p>
            <w:r>
              <w:rPr>
                <w:b/>
                <w:color w:val="FFFFFF"/>
                <w:sz w:val="18"/>
              </w:rPr>
              <w:t>Institutional response</w:t>
            </w:r>
          </w:p>
        </w:tc>
      </w:tr>
      <w:tr>
        <w:tc>
          <w:tcPr>
            <w:tcW w:type="dxa" w:w="3360"/>
            <w:vAlign w:val="top"/>
            <w:shd w:fill="EFEFEF"/>
          </w:tcPr>
          <w:p>
            <w:r>
              <w:rPr>
                <w:sz w:val="17"/>
              </w:rPr>
              <w:t>Incremental cost and outcome</w:t>
            </w:r>
          </w:p>
        </w:tc>
        <w:tc>
          <w:tcPr>
            <w:tcW w:type="dxa" w:w="3360"/>
            <w:vAlign w:val="top"/>
          </w:tcPr>
          <w:p>
            <w:r>
              <w:rPr>
                <w:sz w:val="17"/>
              </w:rPr>
              <w:t>Report disaggregated and summary results relative to the comparator.</w:t>
            </w:r>
          </w:p>
        </w:tc>
        <w:tc>
          <w:tcPr>
            <w:tcW w:type="dxa" w:w="3360"/>
            <w:vAlign w:val="top"/>
          </w:tcPr>
          <w:p>
            <w:r>
              <w:rPr>
                <w:sz w:val="17"/>
              </w:rPr>
              <w:t>Synthetic base case: +€180,000 over three years and 8.2 serious events avoided.</w:t>
            </w:r>
          </w:p>
        </w:tc>
      </w:tr>
      <w:tr>
        <w:tc>
          <w:tcPr>
            <w:tcW w:type="dxa" w:w="3360"/>
            <w:vAlign w:val="top"/>
            <w:shd w:fill="EFEFEF"/>
          </w:tcPr>
          <w:p>
            <w:r>
              <w:rPr>
                <w:sz w:val="17"/>
              </w:rPr>
              <w:t>ICER or net benefit</w:t>
            </w:r>
          </w:p>
        </w:tc>
        <w:tc>
          <w:tcPr>
            <w:tcW w:type="dxa" w:w="3360"/>
            <w:vAlign w:val="top"/>
          </w:tcPr>
          <w:p>
            <w:r>
              <w:rPr>
                <w:sz w:val="17"/>
              </w:rPr>
              <w:t>State the threshold, currency and price year, and probability that the preferred option is cost-effective.</w:t>
            </w:r>
          </w:p>
        </w:tc>
        <w:tc>
          <w:tcPr>
            <w:tcW w:type="dxa" w:w="3360"/>
            <w:vAlign w:val="top"/>
          </w:tcPr>
          <w:p>
            <w:r>
              <w:rPr>
                <w:sz w:val="17"/>
              </w:rPr>
              <w:t>Synthetic result: positive net benefit at the stated threshold; 72% probability of cost-effectiveness.</w:t>
            </w:r>
          </w:p>
        </w:tc>
      </w:tr>
      <w:tr>
        <w:tc>
          <w:tcPr>
            <w:tcW w:type="dxa" w:w="3360"/>
            <w:vAlign w:val="top"/>
            <w:shd w:fill="EFEFEF"/>
          </w:tcPr>
          <w:p>
            <w:r>
              <w:rPr>
                <w:sz w:val="17"/>
              </w:rPr>
              <w:t>Budget impact</w:t>
            </w:r>
          </w:p>
        </w:tc>
        <w:tc>
          <w:tcPr>
            <w:tcW w:type="dxa" w:w="3360"/>
            <w:vAlign w:val="top"/>
          </w:tcPr>
          <w:p>
            <w:r>
              <w:rPr>
                <w:sz w:val="17"/>
              </w:rPr>
              <w:t>Report eligible volume, uptake, implementation timing, annual cash flow, funding source, and cashable versus non-cashable savings.</w:t>
            </w:r>
          </w:p>
        </w:tc>
        <w:tc>
          <w:tcPr>
            <w:tcW w:type="dxa" w:w="3360"/>
            <w:vAlign w:val="top"/>
          </w:tcPr>
          <w:p>
            <w:r>
              <w:rPr>
                <w:sz w:val="17"/>
              </w:rPr>
              <w:t>Year 1 €145,000 net cost; Year 2 €35,000; Year 3 €5,000 saving; no headcount reduction assumed.</w:t>
            </w:r>
          </w:p>
        </w:tc>
      </w:tr>
      <w:tr>
        <w:tc>
          <w:tcPr>
            <w:tcW w:type="dxa" w:w="3360"/>
            <w:vAlign w:val="top"/>
            <w:shd w:fill="EFEFEF"/>
          </w:tcPr>
          <w:p>
            <w:r>
              <w:rPr>
                <w:sz w:val="17"/>
              </w:rPr>
              <w:t>Distribution and equity</w:t>
            </w:r>
          </w:p>
        </w:tc>
        <w:tc>
          <w:tcPr>
            <w:tcW w:type="dxa" w:w="3360"/>
            <w:vAlign w:val="top"/>
          </w:tcPr>
          <w:p>
            <w:r>
              <w:rPr>
                <w:sz w:val="17"/>
              </w:rPr>
              <w:t>Report subgroup outcomes, access, burdens, opportunity costs, mitigation, and residual concern.</w:t>
            </w:r>
          </w:p>
        </w:tc>
        <w:tc>
          <w:tcPr>
            <w:tcW w:type="dxa" w:w="3360"/>
            <w:vAlign w:val="top"/>
          </w:tcPr>
          <w:p>
            <w:r>
              <w:rPr>
                <w:sz w:val="17"/>
              </w:rPr>
              <w:t>Lower benefit with incomplete language data; mitigation includes interpreter-supported workflow and subgroup monitoring.</w:t>
            </w:r>
          </w:p>
        </w:tc>
      </w:tr>
      <w:tr>
        <w:tc>
          <w:tcPr>
            <w:tcW w:type="dxa" w:w="3360"/>
            <w:vAlign w:val="top"/>
            <w:shd w:fill="EFEFEF"/>
          </w:tcPr>
          <w:p>
            <w:r>
              <w:rPr>
                <w:sz w:val="17"/>
              </w:rPr>
              <w:t>Regulatory and clinical evidence status</w:t>
            </w:r>
          </w:p>
        </w:tc>
        <w:tc>
          <w:tcPr>
            <w:tcW w:type="dxa" w:w="3360"/>
            <w:vAlign w:val="top"/>
          </w:tcPr>
          <w:p>
            <w:r>
              <w:rPr>
                <w:sz w:val="17"/>
              </w:rPr>
              <w:t>Distinguish authorization, external clinical evidence, joint or national assessment, and local evidence.</w:t>
            </w:r>
          </w:p>
        </w:tc>
        <w:tc>
          <w:tcPr>
            <w:tcW w:type="dxa" w:w="3360"/>
            <w:vAlign w:val="top"/>
          </w:tcPr>
          <w:p>
            <w:r>
              <w:rPr>
                <w:sz w:val="17"/>
              </w:rPr>
              <w:t>Exact product and version verified; external evidence promising; local silent-mode evidence required.</w:t>
            </w:r>
          </w:p>
        </w:tc>
      </w:tr>
      <w:tr>
        <w:tc>
          <w:tcPr>
            <w:tcW w:type="dxa" w:w="3360"/>
            <w:vAlign w:val="top"/>
            <w:shd w:fill="EFEFEF"/>
          </w:tcPr>
          <w:p>
            <w:r>
              <w:rPr>
                <w:sz w:val="17"/>
              </w:rPr>
              <w:t>Reimbursement and payment</w:t>
            </w:r>
          </w:p>
        </w:tc>
        <w:tc>
          <w:tcPr>
            <w:tcW w:type="dxa" w:w="3360"/>
            <w:vAlign w:val="top"/>
          </w:tcPr>
          <w:p>
            <w:r>
              <w:rPr>
                <w:sz w:val="17"/>
              </w:rPr>
              <w:t>Identify coverage, coding, tariff, payer, claim, denial, and incentive implications.</w:t>
            </w:r>
          </w:p>
        </w:tc>
        <w:tc>
          <w:tcPr>
            <w:tcW w:type="dxa" w:w="3360"/>
            <w:vAlign w:val="top"/>
          </w:tcPr>
          <w:p>
            <w:r>
              <w:rPr>
                <w:sz w:val="17"/>
              </w:rPr>
              <w:t>No separate reimbursement; value arises through avoided harm and released capacity.</w:t>
            </w:r>
          </w:p>
        </w:tc>
      </w:tr>
      <w:tr>
        <w:tc>
          <w:tcPr>
            <w:tcW w:type="dxa" w:w="3360"/>
            <w:vAlign w:val="top"/>
            <w:shd w:fill="EFEFEF"/>
          </w:tcPr>
          <w:p>
            <w:r>
              <w:rPr>
                <w:sz w:val="17"/>
              </w:rPr>
              <w:t>Local adoption conditions</w:t>
            </w:r>
          </w:p>
        </w:tc>
        <w:tc>
          <w:tcPr>
            <w:tcW w:type="dxa" w:w="3360"/>
            <w:vAlign w:val="top"/>
          </w:tcPr>
          <w:p>
            <w:r>
              <w:rPr>
                <w:sz w:val="17"/>
              </w:rPr>
              <w:t>Record readiness, procurement, workforce, quality, accreditation, governance, and monitoring prerequisites.</w:t>
            </w:r>
          </w:p>
        </w:tc>
        <w:tc>
          <w:tcPr>
            <w:tcW w:type="dxa" w:w="3360"/>
            <w:vAlign w:val="top"/>
          </w:tcPr>
          <w:p>
            <w:r>
              <w:rPr>
                <w:sz w:val="17"/>
              </w:rPr>
              <w:t>Interface testing, role-based training, quality-control plan, audit rights, and tested rollback.</w:t>
            </w:r>
          </w:p>
        </w:tc>
      </w:tr>
      <w:tr>
        <w:tc>
          <w:tcPr>
            <w:tcW w:type="dxa" w:w="3360"/>
            <w:vAlign w:val="top"/>
            <w:shd w:fill="EFEFEF"/>
          </w:tcPr>
          <w:p>
            <w:r>
              <w:rPr>
                <w:sz w:val="17"/>
              </w:rPr>
              <w:t>Uncertainty and additional evidence</w:t>
            </w:r>
          </w:p>
        </w:tc>
        <w:tc>
          <w:tcPr>
            <w:tcW w:type="dxa" w:w="3360"/>
            <w:vAlign w:val="top"/>
          </w:tcPr>
          <w:p>
            <w:r>
              <w:rPr>
                <w:sz w:val="17"/>
              </w:rPr>
              <w:t>Identify parameters that may change the decision and the value, cost, and timing of further research.</w:t>
            </w:r>
          </w:p>
        </w:tc>
        <w:tc>
          <w:tcPr>
            <w:tcW w:type="dxa" w:w="3360"/>
            <w:vAlign w:val="top"/>
          </w:tcPr>
          <w:p>
            <w:r>
              <w:rPr>
                <w:sz w:val="17"/>
              </w:rPr>
              <w:t>Event prevalence, response effect, and review burden are decision critical; collect six months of local evidence.</w:t>
            </w:r>
          </w:p>
        </w:tc>
      </w:tr>
      <w:tr>
        <w:tc>
          <w:tcPr>
            <w:tcW w:type="dxa" w:w="3360"/>
            <w:vAlign w:val="top"/>
            <w:shd w:fill="EFEFEF"/>
          </w:tcPr>
          <w:p>
            <w:r>
              <w:rPr>
                <w:sz w:val="17"/>
              </w:rPr>
              <w:t>Recommendation</w:t>
            </w:r>
          </w:p>
        </w:tc>
        <w:tc>
          <w:tcPr>
            <w:tcW w:type="dxa" w:w="3360"/>
            <w:vAlign w:val="top"/>
          </w:tcPr>
          <w:p>
            <w:r>
              <w:rPr>
                <w:sz w:val="17"/>
              </w:rPr>
              <w:t>Record adopt, pilot, conditional use, restrict, defer, redesign, reject, or retire, together with conditions and review date.</w:t>
            </w:r>
          </w:p>
        </w:tc>
        <w:tc>
          <w:tcPr>
            <w:tcW w:type="dxa" w:w="3360"/>
            <w:vAlign w:val="top"/>
          </w:tcPr>
          <w:p>
            <w:r>
              <w:rPr>
                <w:sz w:val="17"/>
              </w:rPr>
              <w:t>Proceed to a time-limited silent-mode evaluation with predefined safety, workload, equity, and budget thresholds.</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AIHE-B04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