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AIHE-B04 - Cost-Effectiveness, Budget Impact, and HTA Record</w:t>
      </w:r>
    </w:p>
    <w:p>
      <w:r>
        <w:rPr>
          <w:b/>
        </w:rPr>
        <w:t>Chapter 7: Economic Evaluation, Affordability, and Health Technology Assessment</w:t>
      </w:r>
    </w:p>
    <w:p>
      <w:r>
        <w:t>Summarize cost-effectiveness, affordability, distribution, HTA, reimbursement, adoption conditions, uncertainty, and recommendation.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AIHE-B04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Economic evidence</w:t>
            </w:r>
          </w:p>
        </w:tc>
        <w:tc>
          <w:tcPr>
            <w:tcW w:type="dxa" w:w="2556"/>
            <w:vAlign w:val="top"/>
          </w:tcPr>
          <w:p>
            <w:r>
              <w:t>Analysis type and decision question</w:t>
            </w:r>
          </w:p>
        </w:tc>
        <w:tc>
          <w:tcPr>
            <w:tcW w:type="dxa" w:w="2556"/>
            <w:vAlign w:val="top"/>
          </w:tcPr>
          <w:p>
            <w:r>
              <w:t>Separate cost-effectiveness, budget impact, affordability, HTA, reimbursement, and local adoption.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Cost-effectiveness</w:t>
            </w:r>
          </w:p>
        </w:tc>
        <w:tc>
          <w:tcPr>
            <w:tcW w:type="dxa" w:w="2556"/>
            <w:vAlign w:val="top"/>
          </w:tcPr>
          <w:p>
            <w:r>
              <w:t>Incremental costs, outcomes, ICER, efficiency frontier, and NMB</w:t>
            </w:r>
          </w:p>
        </w:tc>
        <w:tc>
          <w:tcPr>
            <w:tcW w:type="dxa" w:w="2556"/>
            <w:vAlign w:val="top"/>
          </w:tcPr>
          <w:p>
            <w:r>
              <w:t>Report thresholds explicitly.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Budget impact</w:t>
            </w:r>
          </w:p>
        </w:tc>
        <w:tc>
          <w:tcPr>
            <w:tcW w:type="dxa" w:w="2556"/>
            <w:vAlign w:val="top"/>
          </w:tcPr>
          <w:p>
            <w:r>
              <w:t>Annual and cumulative cash-flow consequences</w:t>
            </w:r>
          </w:p>
        </w:tc>
        <w:tc>
          <w:tcPr>
            <w:tcW w:type="dxa" w:w="2556"/>
            <w:vAlign w:val="top"/>
          </w:tcPr>
          <w:p>
            <w:r>
              <w:t>Identify the responsible budget holder and timing.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Affordability</w:t>
            </w:r>
          </w:p>
        </w:tc>
        <w:tc>
          <w:tcPr>
            <w:tcW w:type="dxa" w:w="2556"/>
            <w:vAlign w:val="top"/>
          </w:tcPr>
          <w:p>
            <w:r>
              <w:t>Implementation capacity and budget constraints</w:t>
            </w:r>
          </w:p>
        </w:tc>
        <w:tc>
          <w:tcPr>
            <w:tcW w:type="dxa" w:w="2556"/>
            <w:vAlign w:val="top"/>
          </w:tcPr>
          <w:p>
            <w:r>
              <w:t>A cost-effective option may remain unaffordable.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Transferability</w:t>
            </w:r>
          </w:p>
        </w:tc>
        <w:tc>
          <w:tcPr>
            <w:tcW w:type="dxa" w:w="2556"/>
            <w:vAlign w:val="top"/>
          </w:tcPr>
          <w:p>
            <w:r>
              <w:t>Differences in population, costs, pathway, capacity, and implementation</w:t>
            </w:r>
          </w:p>
        </w:tc>
        <w:tc>
          <w:tcPr>
            <w:tcW w:type="dxa" w:w="2556"/>
            <w:vAlign w:val="top"/>
          </w:tcPr>
          <w:p>
            <w:r>
              <w:t>Document adaptation from external evidence.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Distribution</w:t>
            </w:r>
          </w:p>
        </w:tc>
        <w:tc>
          <w:tcPr>
            <w:tcW w:type="dxa" w:w="2556"/>
            <w:vAlign w:val="top"/>
          </w:tcPr>
          <w:p>
            <w:r>
              <w:t>Subgroup outcomes and opportunity costs</w:t>
            </w:r>
          </w:p>
        </w:tc>
        <w:tc>
          <w:tcPr>
            <w:tcW w:type="dxa" w:w="2556"/>
            <w:vAlign w:val="top"/>
          </w:tcPr>
          <w:p>
            <w:r>
              <w:t>Report equity consequences.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Translation</w:t>
            </w:r>
          </w:p>
        </w:tc>
        <w:tc>
          <w:tcPr>
            <w:tcW w:type="dxa" w:w="2556"/>
            <w:vAlign w:val="top"/>
          </w:tcPr>
          <w:p>
            <w:r>
              <w:t>HTA finding, reimbursement implication, and local decision</w:t>
            </w:r>
          </w:p>
        </w:tc>
        <w:tc>
          <w:tcPr>
            <w:tcW w:type="dxa" w:w="2556"/>
            <w:vAlign w:val="top"/>
          </w:tcPr>
          <w:p>
            <w:r>
              <w:t>Do not treat these layers as interchangeable.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AIHE-B04 - Cost-Effectiveness, Budget Impact, and HTA Record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