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Model Selection, Uncertainty, and Reproducibility</w:t>
      </w:r>
    </w:p>
    <w:p>
      <w:pPr>
        <w:jc w:val="centre"/>
      </w:pPr>
      <w:r>
        <w:rPr>
          <w:b/>
          <w:color w:val="7A2334"/>
        </w:rPr>
        <w:t>AIHE-B05</w:t>
      </w:r>
    </w:p>
    <w:p>
      <w:pPr>
        <w:spacing w:after="40"/>
      </w:pPr>
      <w:r>
        <w:rPr>
          <w:b/>
        </w:rPr>
        <w:t xml:space="preserve">Primary chapter: </w:t>
      </w:r>
      <w:r>
        <w:t>8 — Decision Modelling, Simulation, and the Value of Information</w:t>
      </w:r>
    </w:p>
    <w:p>
      <w:pPr>
        <w:spacing w:after="40"/>
      </w:pPr>
      <w:r>
        <w:rPr>
          <w:b/>
        </w:rPr>
        <w:t xml:space="preserve">Additional chapter alignment: </w:t>
      </w:r>
      <w:r>
        <w:t>8, 11, 15</w:t>
      </w:r>
    </w:p>
    <w:p>
      <w:pPr>
        <w:spacing w:after="40"/>
      </w:pPr>
      <w:r>
        <w:rPr>
          <w:b/>
        </w:rPr>
        <w:t xml:space="preserve">Legacy aliases: </w:t>
      </w:r>
      <w:r>
        <w:t>AIHE-EX15, AIHE-EX16, AIHE-AF, AIHE-EX04, AIHE-EX05, AIHE-EX06</w:t>
      </w:r>
    </w:p>
    <w:p>
      <w:pPr>
        <w:spacing w:after="40"/>
      </w:pPr>
      <w:r>
        <w:rPr>
          <w:b/>
        </w:rPr>
        <w:t xml:space="preserve">Version: </w:t>
      </w:r>
      <w:r>
        <w:t>V1.0</w:t>
      </w:r>
    </w:p>
    <w:p>
      <w:pPr>
        <w:pStyle w:val="Heading1"/>
      </w:pPr>
      <w:r>
        <w:t>Purpose</w:t>
      </w:r>
    </w:p>
    <w:p>
      <w:r>
        <w:t>Select a decision model from the problem structure and document evidence, verification, uncertainty, and reproducibility.</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7A2334"/>
          </w:tcPr>
          <w:p>
            <w:r>
              <w:rPr>
                <w:b/>
                <w:color w:val="FFFFFF"/>
                <w:sz w:val="18"/>
              </w:rPr>
              <w:t>Decision structure</w:t>
            </w:r>
          </w:p>
        </w:tc>
        <w:tc>
          <w:tcPr>
            <w:tcW w:type="dxa" w:w="2520"/>
            <w:shd w:fill="7A2334"/>
          </w:tcPr>
          <w:p>
            <w:r>
              <w:rPr>
                <w:b/>
                <w:color w:val="FFFFFF"/>
                <w:sz w:val="18"/>
              </w:rPr>
              <w:t>Candidate approach</w:t>
            </w:r>
          </w:p>
        </w:tc>
        <w:tc>
          <w:tcPr>
            <w:tcW w:type="dxa" w:w="2520"/>
            <w:shd w:fill="7A2334"/>
          </w:tcPr>
          <w:p>
            <w:r>
              <w:rPr>
                <w:b/>
                <w:color w:val="FFFFFF"/>
                <w:sz w:val="18"/>
              </w:rPr>
              <w:t>Critical evidence</w:t>
            </w:r>
          </w:p>
        </w:tc>
        <w:tc>
          <w:tcPr>
            <w:tcW w:type="dxa" w:w="2520"/>
            <w:shd w:fill="7A2334"/>
          </w:tcPr>
          <w:p>
            <w:r>
              <w:rPr>
                <w:b/>
                <w:color w:val="FFFFFF"/>
                <w:sz w:val="18"/>
              </w:rPr>
              <w:t>Verification and uncertainty record</w:t>
            </w:r>
          </w:p>
        </w:tc>
      </w:tr>
      <w:tr>
        <w:tc>
          <w:tcPr>
            <w:tcW w:type="dxa" w:w="2520"/>
            <w:vAlign w:val="top"/>
            <w:shd w:fill="F2E8EB"/>
          </w:tcPr>
          <w:p>
            <w:r>
              <w:rPr>
                <w:sz w:val="17"/>
              </w:rPr>
              <w:t>Short, non-recurring pathway</w:t>
            </w:r>
          </w:p>
        </w:tc>
        <w:tc>
          <w:tcPr>
            <w:tcW w:type="dxa" w:w="2520"/>
            <w:vAlign w:val="top"/>
          </w:tcPr>
          <w:p>
            <w:r>
              <w:rPr>
                <w:sz w:val="17"/>
              </w:rPr>
              <w:t>Decision tree</w:t>
            </w:r>
          </w:p>
        </w:tc>
        <w:tc>
          <w:tcPr>
            <w:tcW w:type="dxa" w:w="2520"/>
            <w:vAlign w:val="top"/>
          </w:tcPr>
          <w:p>
            <w:r>
              <w:rPr>
                <w:sz w:val="17"/>
              </w:rPr>
              <w:t>Branch probabilities, costs, outcomes, and threshold consequences</w:t>
            </w:r>
          </w:p>
        </w:tc>
        <w:tc>
          <w:tcPr>
            <w:tcW w:type="dxa" w:w="2520"/>
            <w:vAlign w:val="top"/>
          </w:tcPr>
          <w:p>
            <w:r>
              <w:rPr>
                <w:sz w:val="17"/>
              </w:rPr>
              <w:t>Logic checks, extreme values, scn and probabilistic analysis</w:t>
            </w:r>
          </w:p>
        </w:tc>
      </w:tr>
      <w:tr>
        <w:tc>
          <w:tcPr>
            <w:tcW w:type="dxa" w:w="2520"/>
            <w:vAlign w:val="top"/>
            <w:shd w:fill="F2E8EB"/>
          </w:tcPr>
          <w:p>
            <w:r>
              <w:rPr>
                <w:sz w:val="17"/>
              </w:rPr>
              <w:t>Recurring health states</w:t>
            </w:r>
          </w:p>
        </w:tc>
        <w:tc>
          <w:tcPr>
            <w:tcW w:type="dxa" w:w="2520"/>
            <w:vAlign w:val="top"/>
          </w:tcPr>
          <w:p>
            <w:r>
              <w:rPr>
                <w:sz w:val="17"/>
              </w:rPr>
              <w:t>Cohort state-transition model</w:t>
            </w:r>
          </w:p>
        </w:tc>
        <w:tc>
          <w:tcPr>
            <w:tcW w:type="dxa" w:w="2520"/>
            <w:vAlign w:val="top"/>
          </w:tcPr>
          <w:p>
            <w:r>
              <w:rPr>
                <w:sz w:val="17"/>
              </w:rPr>
              <w:t>Transition probabilities, time dependence, utilities, costs, and competing events</w:t>
            </w:r>
          </w:p>
        </w:tc>
        <w:tc>
          <w:tcPr>
            <w:tcW w:type="dxa" w:w="2520"/>
            <w:vAlign w:val="top"/>
          </w:tcPr>
          <w:p>
            <w:r>
              <w:rPr>
                <w:sz w:val="17"/>
              </w:rPr>
              <w:t>Trace validation, cycle and horizon tests, structural alternatives</w:t>
            </w:r>
          </w:p>
        </w:tc>
      </w:tr>
      <w:tr>
        <w:tc>
          <w:tcPr>
            <w:tcW w:type="dxa" w:w="2520"/>
            <w:vAlign w:val="top"/>
            <w:shd w:fill="F2E8EB"/>
          </w:tcPr>
          <w:p>
            <w:r>
              <w:rPr>
                <w:sz w:val="17"/>
              </w:rPr>
              <w:t>Individual heterogeneity and history</w:t>
            </w:r>
          </w:p>
        </w:tc>
        <w:tc>
          <w:tcPr>
            <w:tcW w:type="dxa" w:w="2520"/>
            <w:vAlign w:val="top"/>
          </w:tcPr>
          <w:p>
            <w:r>
              <w:rPr>
                <w:sz w:val="17"/>
              </w:rPr>
              <w:t>Microsimulation</w:t>
            </w:r>
          </w:p>
        </w:tc>
        <w:tc>
          <w:tcPr>
            <w:tcW w:type="dxa" w:w="2520"/>
            <w:vAlign w:val="top"/>
          </w:tcPr>
          <w:p>
            <w:r>
              <w:rPr>
                <w:sz w:val="17"/>
              </w:rPr>
              <w:t>Patient-level distributions, correlations, event history, and treatment effects</w:t>
            </w:r>
          </w:p>
        </w:tc>
        <w:tc>
          <w:tcPr>
            <w:tcW w:type="dxa" w:w="2520"/>
            <w:vAlign w:val="top"/>
          </w:tcPr>
          <w:p>
            <w:r>
              <w:rPr>
                <w:sz w:val="17"/>
              </w:rPr>
              <w:t>Random seeds, convergence, internal and external validation</w:t>
            </w:r>
          </w:p>
        </w:tc>
      </w:tr>
      <w:tr>
        <w:tc>
          <w:tcPr>
            <w:tcW w:type="dxa" w:w="2520"/>
            <w:vAlign w:val="top"/>
            <w:shd w:fill="F2E8EB"/>
          </w:tcPr>
          <w:p>
            <w:r>
              <w:rPr>
                <w:sz w:val="17"/>
              </w:rPr>
              <w:t>Queues, resources, and event timing</w:t>
            </w:r>
          </w:p>
        </w:tc>
        <w:tc>
          <w:tcPr>
            <w:tcW w:type="dxa" w:w="2520"/>
            <w:vAlign w:val="top"/>
          </w:tcPr>
          <w:p>
            <w:r>
              <w:rPr>
                <w:sz w:val="17"/>
              </w:rPr>
              <w:t>Discrete-event simulation</w:t>
            </w:r>
          </w:p>
        </w:tc>
        <w:tc>
          <w:tcPr>
            <w:tcW w:type="dxa" w:w="2520"/>
            <w:vAlign w:val="top"/>
          </w:tcPr>
          <w:p>
            <w:r>
              <w:rPr>
                <w:sz w:val="17"/>
              </w:rPr>
              <w:t>Arrival, service, routing, capacity, priority, and downtime distributions</w:t>
            </w:r>
          </w:p>
        </w:tc>
        <w:tc>
          <w:tcPr>
            <w:tcW w:type="dxa" w:w="2520"/>
            <w:vAlign w:val="top"/>
          </w:tcPr>
          <w:p>
            <w:r>
              <w:rPr>
                <w:sz w:val="17"/>
              </w:rPr>
              <w:t>Event-trace review, warm-up and run length, replications, stress tests</w:t>
            </w:r>
          </w:p>
        </w:tc>
      </w:tr>
      <w:tr>
        <w:tc>
          <w:tcPr>
            <w:tcW w:type="dxa" w:w="2520"/>
            <w:vAlign w:val="top"/>
            <w:shd w:fill="F2E8EB"/>
          </w:tcPr>
          <w:p>
            <w:r>
              <w:rPr>
                <w:sz w:val="17"/>
              </w:rPr>
              <w:t>Interacting actors or policy feedback</w:t>
            </w:r>
          </w:p>
        </w:tc>
        <w:tc>
          <w:tcPr>
            <w:tcW w:type="dxa" w:w="2520"/>
            <w:vAlign w:val="top"/>
          </w:tcPr>
          <w:p>
            <w:r>
              <w:rPr>
                <w:sz w:val="17"/>
              </w:rPr>
              <w:t>Agent-based, system-dynamics, or hybrid model</w:t>
            </w:r>
          </w:p>
        </w:tc>
        <w:tc>
          <w:tcPr>
            <w:tcW w:type="dxa" w:w="2520"/>
            <w:vAlign w:val="top"/>
          </w:tcPr>
          <w:p>
            <w:r>
              <w:rPr>
                <w:sz w:val="17"/>
              </w:rPr>
              <w:t>Behaviour rules, networks, stocks, flows, delays, and feedback</w:t>
            </w:r>
          </w:p>
        </w:tc>
        <w:tc>
          <w:tcPr>
            <w:tcW w:type="dxa" w:w="2520"/>
            <w:vAlign w:val="top"/>
          </w:tcPr>
          <w:p>
            <w:r>
              <w:rPr>
                <w:sz w:val="17"/>
              </w:rPr>
              <w:t>Pattern validation, sensitivity to rules, alternative structures</w:t>
            </w:r>
          </w:p>
        </w:tc>
      </w:tr>
      <w:tr>
        <w:tc>
          <w:tcPr>
            <w:tcW w:type="dxa" w:w="2520"/>
            <w:vAlign w:val="top"/>
            <w:shd w:fill="F2E8EB"/>
          </w:tcPr>
          <w:p>
            <w:r>
              <w:rPr>
                <w:sz w:val="17"/>
              </w:rPr>
              <w:t>All consequential models</w:t>
            </w:r>
          </w:p>
        </w:tc>
        <w:tc>
          <w:tcPr>
            <w:tcW w:type="dxa" w:w="2520"/>
            <w:vAlign w:val="top"/>
          </w:tcPr>
          <w:p>
            <w:r>
              <w:rPr>
                <w:sz w:val="17"/>
              </w:rPr>
              <w:t>Proportionate reproducible workflow</w:t>
            </w:r>
          </w:p>
        </w:tc>
        <w:tc>
          <w:tcPr>
            <w:tcW w:type="dxa" w:w="2520"/>
            <w:vAlign w:val="top"/>
          </w:tcPr>
          <w:p>
            <w:r>
              <w:rPr>
                <w:sz w:val="17"/>
              </w:rPr>
              <w:t>Data provenance, code, parameters, evidence, environment, versions, approvals, and archive</w:t>
            </w:r>
          </w:p>
        </w:tc>
        <w:tc>
          <w:tcPr>
            <w:tcW w:type="dxa" w:w="2520"/>
            <w:vAlign w:val="top"/>
          </w:tcPr>
          <w:p>
            <w:r>
              <w:rPr>
                <w:sz w:val="17"/>
              </w:rPr>
              <w:t>Independent review, test suite, change log, decision traceability</w:t>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52565A"/>
          </w:tcPr>
          <w:p>
            <w:r>
              <w:rPr>
                <w:b/>
                <w:color w:val="FFFFFF"/>
                <w:sz w:val="18"/>
              </w:rPr>
              <w:t>Decision structure</w:t>
            </w:r>
          </w:p>
        </w:tc>
        <w:tc>
          <w:tcPr>
            <w:tcW w:type="dxa" w:w="2520"/>
            <w:shd w:fill="52565A"/>
          </w:tcPr>
          <w:p>
            <w:r>
              <w:rPr>
                <w:b/>
                <w:color w:val="FFFFFF"/>
                <w:sz w:val="18"/>
              </w:rPr>
              <w:t>Candidate approach</w:t>
            </w:r>
          </w:p>
        </w:tc>
        <w:tc>
          <w:tcPr>
            <w:tcW w:type="dxa" w:w="2520"/>
            <w:shd w:fill="52565A"/>
          </w:tcPr>
          <w:p>
            <w:r>
              <w:rPr>
                <w:b/>
                <w:color w:val="FFFFFF"/>
                <w:sz w:val="18"/>
              </w:rPr>
              <w:t>Critical evidence</w:t>
            </w:r>
          </w:p>
        </w:tc>
        <w:tc>
          <w:tcPr>
            <w:tcW w:type="dxa" w:w="2520"/>
            <w:shd w:fill="52565A"/>
          </w:tcPr>
          <w:p>
            <w:r>
              <w:rPr>
                <w:b/>
                <w:color w:val="FFFFFF"/>
                <w:sz w:val="18"/>
              </w:rPr>
              <w:t>Verification and uncertainty record</w:t>
            </w:r>
          </w:p>
        </w:tc>
      </w:tr>
      <w:tr>
        <w:tc>
          <w:tcPr>
            <w:tcW w:type="dxa" w:w="2520"/>
            <w:vAlign w:val="top"/>
            <w:shd w:fill="EFEFEF"/>
          </w:tcPr>
          <w:p>
            <w:r>
              <w:rPr>
                <w:sz w:val="17"/>
              </w:rPr>
              <w:t>Short, non-recurring pathway</w:t>
            </w:r>
          </w:p>
        </w:tc>
        <w:tc>
          <w:tcPr>
            <w:tcW w:type="dxa" w:w="2520"/>
            <w:vAlign w:val="top"/>
          </w:tcPr>
          <w:p>
            <w:r>
              <w:rPr>
                <w:sz w:val="17"/>
              </w:rPr>
              <w:t>Decision tree</w:t>
            </w:r>
          </w:p>
        </w:tc>
        <w:tc>
          <w:tcPr>
            <w:tcW w:type="dxa" w:w="2520"/>
            <w:vAlign w:val="top"/>
          </w:tcPr>
          <w:p>
            <w:r>
              <w:rPr>
                <w:sz w:val="17"/>
              </w:rPr>
              <w:t>Branch probabilities, costs, outcomes, and threshold consequences</w:t>
            </w:r>
          </w:p>
        </w:tc>
        <w:tc>
          <w:tcPr>
            <w:tcW w:type="dxa" w:w="2520"/>
            <w:vAlign w:val="top"/>
          </w:tcPr>
          <w:p>
            <w:r>
              <w:rPr>
                <w:sz w:val="17"/>
              </w:rPr>
              <w:t>Logic checks, extreme values, scn and probabilistic analysis</w:t>
            </w:r>
          </w:p>
        </w:tc>
      </w:tr>
      <w:tr>
        <w:tc>
          <w:tcPr>
            <w:tcW w:type="dxa" w:w="2520"/>
            <w:vAlign w:val="top"/>
            <w:shd w:fill="EFEFEF"/>
          </w:tcPr>
          <w:p>
            <w:r>
              <w:rPr>
                <w:sz w:val="17"/>
              </w:rPr>
              <w:t>Recurring health states</w:t>
            </w:r>
          </w:p>
        </w:tc>
        <w:tc>
          <w:tcPr>
            <w:tcW w:type="dxa" w:w="2520"/>
            <w:vAlign w:val="top"/>
          </w:tcPr>
          <w:p>
            <w:r>
              <w:rPr>
                <w:sz w:val="17"/>
              </w:rPr>
              <w:t>Cohort state-transition model</w:t>
            </w:r>
          </w:p>
        </w:tc>
        <w:tc>
          <w:tcPr>
            <w:tcW w:type="dxa" w:w="2520"/>
            <w:vAlign w:val="top"/>
          </w:tcPr>
          <w:p>
            <w:r>
              <w:rPr>
                <w:sz w:val="17"/>
              </w:rPr>
              <w:t>Transition probabilities, time dependence, utilities, costs, and competing events</w:t>
            </w:r>
          </w:p>
        </w:tc>
        <w:tc>
          <w:tcPr>
            <w:tcW w:type="dxa" w:w="2520"/>
            <w:vAlign w:val="top"/>
          </w:tcPr>
          <w:p>
            <w:r>
              <w:rPr>
                <w:sz w:val="17"/>
              </w:rPr>
              <w:t>Trace validation, cycle and horizon tests, structural alternatives</w:t>
            </w:r>
          </w:p>
        </w:tc>
      </w:tr>
      <w:tr>
        <w:tc>
          <w:tcPr>
            <w:tcW w:type="dxa" w:w="2520"/>
            <w:vAlign w:val="top"/>
            <w:shd w:fill="EFEFEF"/>
          </w:tcPr>
          <w:p>
            <w:r>
              <w:rPr>
                <w:sz w:val="17"/>
              </w:rPr>
              <w:t>Individual heterogeneity and history</w:t>
            </w:r>
          </w:p>
        </w:tc>
        <w:tc>
          <w:tcPr>
            <w:tcW w:type="dxa" w:w="2520"/>
            <w:vAlign w:val="top"/>
          </w:tcPr>
          <w:p>
            <w:r>
              <w:rPr>
                <w:sz w:val="17"/>
              </w:rPr>
              <w:t>Microsimulation</w:t>
            </w:r>
          </w:p>
        </w:tc>
        <w:tc>
          <w:tcPr>
            <w:tcW w:type="dxa" w:w="2520"/>
            <w:vAlign w:val="top"/>
          </w:tcPr>
          <w:p>
            <w:r>
              <w:rPr>
                <w:sz w:val="17"/>
              </w:rPr>
              <w:t>Patient-level distributions, correlations, event history, and treatment effects</w:t>
            </w:r>
          </w:p>
        </w:tc>
        <w:tc>
          <w:tcPr>
            <w:tcW w:type="dxa" w:w="2520"/>
            <w:vAlign w:val="top"/>
          </w:tcPr>
          <w:p>
            <w:r>
              <w:rPr>
                <w:sz w:val="17"/>
              </w:rPr>
              <w:t>Random seeds, convergence, internal and external validation</w:t>
            </w:r>
          </w:p>
        </w:tc>
      </w:tr>
      <w:tr>
        <w:tc>
          <w:tcPr>
            <w:tcW w:type="dxa" w:w="2520"/>
            <w:vAlign w:val="top"/>
            <w:shd w:fill="EFEFEF"/>
          </w:tcPr>
          <w:p>
            <w:r>
              <w:rPr>
                <w:sz w:val="17"/>
              </w:rPr>
              <w:t>Queues, resources, and event timing</w:t>
            </w:r>
          </w:p>
        </w:tc>
        <w:tc>
          <w:tcPr>
            <w:tcW w:type="dxa" w:w="2520"/>
            <w:vAlign w:val="top"/>
          </w:tcPr>
          <w:p>
            <w:r>
              <w:rPr>
                <w:sz w:val="17"/>
              </w:rPr>
              <w:t>Discrete-event simulation</w:t>
            </w:r>
          </w:p>
        </w:tc>
        <w:tc>
          <w:tcPr>
            <w:tcW w:type="dxa" w:w="2520"/>
            <w:vAlign w:val="top"/>
          </w:tcPr>
          <w:p>
            <w:r>
              <w:rPr>
                <w:sz w:val="17"/>
              </w:rPr>
              <w:t>Arrival, service, routing, capacity, priority, and downtime distributions</w:t>
            </w:r>
          </w:p>
        </w:tc>
        <w:tc>
          <w:tcPr>
            <w:tcW w:type="dxa" w:w="2520"/>
            <w:vAlign w:val="top"/>
          </w:tcPr>
          <w:p>
            <w:r>
              <w:rPr>
                <w:sz w:val="17"/>
              </w:rPr>
              <w:t>Event-trace review, warm-up and run length, replications, stress tests</w:t>
            </w:r>
          </w:p>
        </w:tc>
      </w:tr>
      <w:tr>
        <w:tc>
          <w:tcPr>
            <w:tcW w:type="dxa" w:w="2520"/>
            <w:vAlign w:val="top"/>
            <w:shd w:fill="EFEFEF"/>
          </w:tcPr>
          <w:p>
            <w:r>
              <w:rPr>
                <w:sz w:val="17"/>
              </w:rPr>
              <w:t>Interacting actors or policy feedback</w:t>
            </w:r>
          </w:p>
        </w:tc>
        <w:tc>
          <w:tcPr>
            <w:tcW w:type="dxa" w:w="2520"/>
            <w:vAlign w:val="top"/>
          </w:tcPr>
          <w:p>
            <w:r>
              <w:rPr>
                <w:sz w:val="17"/>
              </w:rPr>
              <w:t>Agent-based, system-dynamics, or hybrid model</w:t>
            </w:r>
          </w:p>
        </w:tc>
        <w:tc>
          <w:tcPr>
            <w:tcW w:type="dxa" w:w="2520"/>
            <w:vAlign w:val="top"/>
          </w:tcPr>
          <w:p>
            <w:r>
              <w:rPr>
                <w:sz w:val="17"/>
              </w:rPr>
              <w:t>Behaviour rules, networks, stocks, flows, delays, and feedback</w:t>
            </w:r>
          </w:p>
        </w:tc>
        <w:tc>
          <w:tcPr>
            <w:tcW w:type="dxa" w:w="2520"/>
            <w:vAlign w:val="top"/>
          </w:tcPr>
          <w:p>
            <w:r>
              <w:rPr>
                <w:sz w:val="17"/>
              </w:rPr>
              <w:t>Pattern validation, sensitivity to rules, alternative structures</w:t>
            </w:r>
          </w:p>
        </w:tc>
      </w:tr>
      <w:tr>
        <w:tc>
          <w:tcPr>
            <w:tcW w:type="dxa" w:w="2520"/>
            <w:vAlign w:val="top"/>
            <w:shd w:fill="EFEFEF"/>
          </w:tcPr>
          <w:p>
            <w:r>
              <w:rPr>
                <w:sz w:val="17"/>
              </w:rPr>
              <w:t>All consequential models</w:t>
            </w:r>
          </w:p>
        </w:tc>
        <w:tc>
          <w:tcPr>
            <w:tcW w:type="dxa" w:w="2520"/>
            <w:vAlign w:val="top"/>
          </w:tcPr>
          <w:p>
            <w:r>
              <w:rPr>
                <w:sz w:val="17"/>
              </w:rPr>
              <w:t>Proportionate reproducible workflow</w:t>
            </w:r>
          </w:p>
        </w:tc>
        <w:tc>
          <w:tcPr>
            <w:tcW w:type="dxa" w:w="2520"/>
            <w:vAlign w:val="top"/>
          </w:tcPr>
          <w:p>
            <w:r>
              <w:rPr>
                <w:sz w:val="17"/>
              </w:rPr>
              <w:t>Data provenance, code, parameters, evidence, environment, versions, approvals, and archive</w:t>
            </w:r>
          </w:p>
        </w:tc>
        <w:tc>
          <w:tcPr>
            <w:tcW w:type="dxa" w:w="2520"/>
            <w:vAlign w:val="top"/>
          </w:tcPr>
          <w:p>
            <w:r>
              <w:rPr>
                <w:sz w:val="17"/>
              </w:rPr>
              <w:t>Independent review, test suite, change log, decision traceability</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AIHE-B05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